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2DAB0" w14:textId="77777777" w:rsidR="001A4FCD" w:rsidRPr="00153D5B" w:rsidRDefault="001A4FCD" w:rsidP="004A20AE">
      <w:pPr>
        <w:pStyle w:val="Title"/>
        <w:spacing w:after="0"/>
        <w:rPr>
          <w:rFonts w:ascii="Times New Roman" w:hAnsi="Times New Roman"/>
          <w:b/>
          <w:sz w:val="28"/>
          <w:szCs w:val="28"/>
          <w:lang w:val="lv-LV"/>
        </w:rPr>
      </w:pPr>
      <w:r w:rsidRPr="00153D5B">
        <w:rPr>
          <w:rFonts w:ascii="Times New Roman" w:hAnsi="Times New Roman"/>
          <w:b/>
          <w:sz w:val="28"/>
          <w:szCs w:val="28"/>
          <w:lang w:val="lv-LV"/>
        </w:rPr>
        <w:t>Sistēmas drošības politika pa</w:t>
      </w:r>
      <w:r w:rsidR="00DB394B" w:rsidRPr="00153D5B">
        <w:rPr>
          <w:rFonts w:ascii="Times New Roman" w:hAnsi="Times New Roman"/>
          <w:b/>
          <w:sz w:val="28"/>
          <w:szCs w:val="28"/>
          <w:lang w:val="lv-LV"/>
        </w:rPr>
        <w:t>augstinātas</w:t>
      </w:r>
      <w:r w:rsidRPr="00153D5B">
        <w:rPr>
          <w:rFonts w:ascii="Times New Roman" w:hAnsi="Times New Roman"/>
          <w:b/>
          <w:sz w:val="28"/>
          <w:szCs w:val="28"/>
          <w:lang w:val="lv-LV"/>
        </w:rPr>
        <w:t xml:space="preserve"> drošības informācijas sistēmai</w:t>
      </w:r>
    </w:p>
    <w:p w14:paraId="259C633D" w14:textId="77777777" w:rsidR="00557EEB" w:rsidRPr="00746E3F" w:rsidRDefault="00557EEB" w:rsidP="00557EEB">
      <w:pPr>
        <w:pStyle w:val="Heading"/>
        <w:ind w:left="360"/>
        <w:rPr>
          <w:rFonts w:ascii="Times New Roman" w:hAnsi="Times New Roman" w:cs="Times New Roman"/>
          <w:b/>
          <w:sz w:val="24"/>
          <w:szCs w:val="24"/>
        </w:rPr>
      </w:pPr>
    </w:p>
    <w:p w14:paraId="7B97D1B4" w14:textId="77777777" w:rsidR="00562DBD" w:rsidRPr="00746E3F" w:rsidRDefault="00562DBD" w:rsidP="004A20AE">
      <w:pPr>
        <w:pStyle w:val="Heading"/>
        <w:numPr>
          <w:ilvl w:val="0"/>
          <w:numId w:val="4"/>
        </w:numPr>
        <w:rPr>
          <w:rFonts w:ascii="Times New Roman" w:hAnsi="Times New Roman" w:cs="Times New Roman"/>
          <w:b/>
          <w:sz w:val="24"/>
          <w:szCs w:val="24"/>
        </w:rPr>
      </w:pPr>
      <w:r w:rsidRPr="00746E3F">
        <w:rPr>
          <w:rFonts w:ascii="Times New Roman" w:hAnsi="Times New Roman" w:cs="Times New Roman"/>
          <w:b/>
          <w:sz w:val="24"/>
          <w:szCs w:val="24"/>
        </w:rPr>
        <w:t>Termini</w:t>
      </w:r>
    </w:p>
    <w:tbl>
      <w:tblPr>
        <w:tblW w:w="0" w:type="auto"/>
        <w:tblBorders>
          <w:top w:val="single" w:sz="4" w:space="0" w:color="auto"/>
          <w:left w:val="single" w:sz="4" w:space="0" w:color="auto"/>
          <w:bottom w:val="single" w:sz="4" w:space="0" w:color="auto"/>
          <w:right w:val="single" w:sz="4" w:space="0" w:color="auto"/>
        </w:tblBorders>
        <w:shd w:val="clear" w:color="auto" w:fill="FFC000"/>
        <w:tblLook w:val="0000" w:firstRow="0" w:lastRow="0" w:firstColumn="0" w:lastColumn="0" w:noHBand="0" w:noVBand="0"/>
      </w:tblPr>
      <w:tblGrid>
        <w:gridCol w:w="9350"/>
      </w:tblGrid>
      <w:tr w:rsidR="00C84B14" w:rsidRPr="00746E3F" w14:paraId="77781771" w14:textId="77777777" w:rsidTr="00926414">
        <w:tc>
          <w:tcPr>
            <w:tcW w:w="9576" w:type="dxa"/>
            <w:shd w:val="clear" w:color="auto" w:fill="FFC000"/>
          </w:tcPr>
          <w:p w14:paraId="0A54EF97" w14:textId="77777777" w:rsidR="00C84B14" w:rsidRPr="00746E3F" w:rsidRDefault="00C84B14" w:rsidP="00E26A4F">
            <w:pPr>
              <w:pStyle w:val="Heading"/>
              <w:rPr>
                <w:rFonts w:ascii="Times New Roman" w:hAnsi="Times New Roman" w:cs="Times New Roman"/>
                <w:b/>
                <w:sz w:val="24"/>
                <w:szCs w:val="24"/>
              </w:rPr>
            </w:pPr>
            <w:r w:rsidRPr="00746E3F">
              <w:rPr>
                <w:rFonts w:ascii="Times New Roman" w:hAnsi="Times New Roman" w:cs="Times New Roman"/>
                <w:sz w:val="24"/>
                <w:szCs w:val="24"/>
              </w:rPr>
              <w:t>Iesakām pēc iespējas izmantot terminus kas izmantoti normatīvajos aktos (Informācijas tehnoloģiju drošības likums</w:t>
            </w:r>
            <w:r w:rsidR="00BF06BD" w:rsidRPr="00746E3F">
              <w:rPr>
                <w:rStyle w:val="FootnoteReference"/>
                <w:rFonts w:ascii="Times New Roman" w:hAnsi="Times New Roman" w:cs="Times New Roman"/>
                <w:sz w:val="24"/>
                <w:szCs w:val="24"/>
              </w:rPr>
              <w:footnoteReference w:id="1"/>
            </w:r>
            <w:r w:rsidRPr="00746E3F">
              <w:rPr>
                <w:rFonts w:ascii="Times New Roman" w:hAnsi="Times New Roman" w:cs="Times New Roman"/>
                <w:sz w:val="24"/>
                <w:szCs w:val="24"/>
              </w:rPr>
              <w:t xml:space="preserve">, MK noteikumi </w:t>
            </w:r>
            <w:r w:rsidR="00BF06BD" w:rsidRPr="00746E3F">
              <w:t xml:space="preserve"> “</w:t>
            </w:r>
            <w:r w:rsidR="00BF06BD" w:rsidRPr="00746E3F">
              <w:rPr>
                <w:rFonts w:ascii="Times New Roman" w:hAnsi="Times New Roman" w:cs="Times New Roman"/>
                <w:sz w:val="24"/>
                <w:szCs w:val="24"/>
              </w:rPr>
              <w:t>Kārtība, kādā tiek nodrošināta informācijas un komunikācijas tehnoloģiju sistēmu atbilstība minimālajām drošības prasībām”</w:t>
            </w:r>
            <w:r w:rsidR="00BF06BD" w:rsidRPr="00746E3F">
              <w:rPr>
                <w:rStyle w:val="FootnoteReference"/>
                <w:rFonts w:ascii="Times New Roman" w:hAnsi="Times New Roman" w:cs="Times New Roman"/>
                <w:sz w:val="24"/>
                <w:szCs w:val="24"/>
              </w:rPr>
              <w:footnoteReference w:id="2"/>
            </w:r>
            <w:r w:rsidRPr="00746E3F">
              <w:rPr>
                <w:rFonts w:ascii="Times New Roman" w:hAnsi="Times New Roman" w:cs="Times New Roman"/>
                <w:sz w:val="24"/>
                <w:szCs w:val="24"/>
              </w:rPr>
              <w:t xml:space="preserve">). Protams, pēc </w:t>
            </w:r>
            <w:r w:rsidR="00E26A4F" w:rsidRPr="00746E3F">
              <w:rPr>
                <w:rFonts w:ascii="Times New Roman" w:hAnsi="Times New Roman" w:cs="Times New Roman"/>
                <w:sz w:val="24"/>
                <w:szCs w:val="24"/>
              </w:rPr>
              <w:t xml:space="preserve">nepieciešamības </w:t>
            </w:r>
            <w:r w:rsidRPr="00746E3F">
              <w:rPr>
                <w:rFonts w:ascii="Times New Roman" w:hAnsi="Times New Roman" w:cs="Times New Roman"/>
                <w:sz w:val="24"/>
                <w:szCs w:val="24"/>
              </w:rPr>
              <w:t>pielāgojot iestādes specifikai.</w:t>
            </w:r>
            <w:r w:rsidR="00C33F1B" w:rsidRPr="00746E3F">
              <w:rPr>
                <w:rFonts w:ascii="Times New Roman" w:hAnsi="Times New Roman" w:cs="Times New Roman"/>
                <w:sz w:val="24"/>
                <w:szCs w:val="24"/>
              </w:rPr>
              <w:t xml:space="preserve"> Drošības politikā lietotos terminus izmantot arī politikai pakārtotajos drošības dokumentos</w:t>
            </w:r>
          </w:p>
        </w:tc>
      </w:tr>
    </w:tbl>
    <w:p w14:paraId="552854F8" w14:textId="77777777" w:rsidR="00C84B14" w:rsidRPr="00746E3F" w:rsidRDefault="00C84B14" w:rsidP="00435892">
      <w:pPr>
        <w:pStyle w:val="Heading"/>
        <w:ind w:left="360"/>
        <w:rPr>
          <w:rFonts w:ascii="Times New Roman" w:hAnsi="Times New Roman" w:cs="Times New Roman"/>
          <w:b/>
          <w:sz w:val="24"/>
          <w:szCs w:val="24"/>
        </w:rPr>
      </w:pPr>
    </w:p>
    <w:p w14:paraId="07507EF2" w14:textId="77777777" w:rsidR="005971F5" w:rsidRPr="00746E3F" w:rsidRDefault="005971F5" w:rsidP="004A20AE">
      <w:pPr>
        <w:pStyle w:val="ListParagraph"/>
        <w:numPr>
          <w:ilvl w:val="1"/>
          <w:numId w:val="4"/>
        </w:numPr>
        <w:spacing w:after="0" w:line="240" w:lineRule="auto"/>
        <w:rPr>
          <w:rFonts w:ascii="Times New Roman" w:hAnsi="Times New Roman"/>
          <w:sz w:val="24"/>
          <w:szCs w:val="24"/>
          <w:lang w:val="lv-LV"/>
        </w:rPr>
      </w:pPr>
    </w:p>
    <w:p w14:paraId="3622BD04" w14:textId="77777777" w:rsidR="00435892" w:rsidRPr="00746E3F" w:rsidRDefault="00435892" w:rsidP="00435892">
      <w:pPr>
        <w:pStyle w:val="ListParagraph"/>
        <w:spacing w:after="0" w:line="240" w:lineRule="auto"/>
        <w:ind w:left="792"/>
        <w:rPr>
          <w:rFonts w:ascii="Times New Roman" w:hAnsi="Times New Roman"/>
          <w:sz w:val="24"/>
          <w:szCs w:val="24"/>
          <w:lang w:val="lv-LV"/>
        </w:rPr>
      </w:pPr>
    </w:p>
    <w:p w14:paraId="6DBA17A5" w14:textId="77777777" w:rsidR="006E25EA" w:rsidRPr="00746E3F" w:rsidRDefault="001A4FCD" w:rsidP="004A20AE">
      <w:pPr>
        <w:pStyle w:val="Heading"/>
        <w:numPr>
          <w:ilvl w:val="0"/>
          <w:numId w:val="4"/>
        </w:numPr>
        <w:rPr>
          <w:rFonts w:ascii="Times New Roman" w:hAnsi="Times New Roman" w:cs="Times New Roman"/>
          <w:b/>
          <w:sz w:val="24"/>
          <w:szCs w:val="24"/>
        </w:rPr>
      </w:pPr>
      <w:r w:rsidRPr="00746E3F">
        <w:rPr>
          <w:rFonts w:ascii="Times New Roman" w:hAnsi="Times New Roman" w:cs="Times New Roman"/>
          <w:b/>
          <w:sz w:val="24"/>
          <w:szCs w:val="24"/>
        </w:rPr>
        <w:t xml:space="preserve">Sistēmas drošības politikas </w:t>
      </w:r>
      <w:r w:rsidR="00695DCE" w:rsidRPr="00746E3F">
        <w:rPr>
          <w:rFonts w:ascii="Times New Roman" w:hAnsi="Times New Roman" w:cs="Times New Roman"/>
          <w:b/>
          <w:sz w:val="24"/>
          <w:szCs w:val="24"/>
        </w:rPr>
        <w:t>mērķi</w:t>
      </w:r>
      <w:r w:rsidR="005B77E3" w:rsidRPr="00746E3F">
        <w:rPr>
          <w:rFonts w:ascii="Times New Roman" w:hAnsi="Times New Roman" w:cs="Times New Roman"/>
          <w:b/>
          <w:sz w:val="24"/>
          <w:szCs w:val="24"/>
        </w:rPr>
        <w:t xml:space="preserve"> un pamatnostādnes</w:t>
      </w:r>
    </w:p>
    <w:tbl>
      <w:tblPr>
        <w:tblW w:w="0" w:type="auto"/>
        <w:tblBorders>
          <w:top w:val="single" w:sz="4" w:space="0" w:color="auto"/>
          <w:left w:val="single" w:sz="4" w:space="0" w:color="auto"/>
          <w:bottom w:val="single" w:sz="4" w:space="0" w:color="auto"/>
          <w:right w:val="single" w:sz="4" w:space="0" w:color="auto"/>
        </w:tblBorders>
        <w:shd w:val="clear" w:color="auto" w:fill="FFC000"/>
        <w:tblLook w:val="0000" w:firstRow="0" w:lastRow="0" w:firstColumn="0" w:lastColumn="0" w:noHBand="0" w:noVBand="0"/>
      </w:tblPr>
      <w:tblGrid>
        <w:gridCol w:w="9350"/>
      </w:tblGrid>
      <w:tr w:rsidR="00C84B14" w:rsidRPr="00746E3F" w14:paraId="41BF7D8A" w14:textId="77777777" w:rsidTr="00A52EA5">
        <w:tc>
          <w:tcPr>
            <w:tcW w:w="9576" w:type="dxa"/>
            <w:shd w:val="clear" w:color="auto" w:fill="FFC000"/>
          </w:tcPr>
          <w:p w14:paraId="172A02F0" w14:textId="77777777" w:rsidR="00C84B14" w:rsidRPr="0065126C" w:rsidRDefault="00C84B14" w:rsidP="00C84B14">
            <w:pPr>
              <w:rPr>
                <w:rFonts w:ascii="Times New Roman" w:hAnsi="Times New Roman"/>
                <w:b/>
                <w:sz w:val="24"/>
                <w:szCs w:val="24"/>
                <w:lang w:val="lv-LV"/>
              </w:rPr>
            </w:pPr>
            <w:r w:rsidRPr="0065126C">
              <w:rPr>
                <w:rFonts w:ascii="Times New Roman" w:eastAsiaTheme="minorHAnsi" w:hAnsi="Times New Roman"/>
                <w:sz w:val="24"/>
                <w:szCs w:val="24"/>
                <w:lang w:val="lv-LV"/>
              </w:rPr>
              <w:t>Jānosaka</w:t>
            </w:r>
            <w:r w:rsidR="007E5024" w:rsidRPr="0065126C">
              <w:rPr>
                <w:rFonts w:ascii="Times New Roman" w:eastAsiaTheme="minorHAnsi" w:hAnsi="Times New Roman"/>
                <w:sz w:val="24"/>
                <w:szCs w:val="24"/>
                <w:lang w:val="lv-LV"/>
              </w:rPr>
              <w:t>,</w:t>
            </w:r>
            <w:r w:rsidRPr="0065126C">
              <w:rPr>
                <w:rFonts w:ascii="Times New Roman" w:eastAsiaTheme="minorHAnsi" w:hAnsi="Times New Roman"/>
                <w:sz w:val="24"/>
                <w:szCs w:val="24"/>
                <w:lang w:val="lv-LV"/>
              </w:rPr>
              <w:t xml:space="preserve"> kādu mērķi vēlas sasniegt ar politikas dokumentu, kā arī jāapliecina valdības atbalsts politikas īstenošanai.</w:t>
            </w:r>
          </w:p>
        </w:tc>
      </w:tr>
    </w:tbl>
    <w:p w14:paraId="6A3FF47E" w14:textId="77777777" w:rsidR="00C84B14" w:rsidRPr="00746E3F" w:rsidRDefault="00C84B14" w:rsidP="00435892">
      <w:pPr>
        <w:pStyle w:val="Heading"/>
        <w:ind w:left="360"/>
        <w:rPr>
          <w:rFonts w:ascii="Times New Roman" w:hAnsi="Times New Roman" w:cs="Times New Roman"/>
          <w:b/>
          <w:sz w:val="24"/>
          <w:szCs w:val="24"/>
        </w:rPr>
      </w:pPr>
    </w:p>
    <w:p w14:paraId="32936C0D" w14:textId="77777777" w:rsidR="00C84B14" w:rsidRPr="00746E3F" w:rsidRDefault="00C84B14" w:rsidP="00435892">
      <w:pPr>
        <w:pStyle w:val="Heading"/>
        <w:ind w:left="360"/>
        <w:rPr>
          <w:rFonts w:ascii="Times New Roman" w:hAnsi="Times New Roman" w:cs="Times New Roman"/>
          <w:b/>
          <w:sz w:val="24"/>
          <w:szCs w:val="24"/>
        </w:rPr>
      </w:pPr>
    </w:p>
    <w:p w14:paraId="5CA5063D" w14:textId="77777777" w:rsidR="00EF6845" w:rsidRPr="00746E3F" w:rsidRDefault="00EF6845" w:rsidP="004A20AE">
      <w:pPr>
        <w:pStyle w:val="ListParagraph"/>
        <w:numPr>
          <w:ilvl w:val="1"/>
          <w:numId w:val="4"/>
        </w:numPr>
        <w:spacing w:after="0" w:line="240" w:lineRule="auto"/>
        <w:rPr>
          <w:rFonts w:ascii="Times New Roman" w:hAnsi="Times New Roman"/>
          <w:sz w:val="24"/>
          <w:szCs w:val="24"/>
          <w:lang w:val="lv-LV"/>
        </w:rPr>
      </w:pPr>
    </w:p>
    <w:p w14:paraId="41ED31FE" w14:textId="77777777" w:rsidR="00435892" w:rsidRPr="00746E3F" w:rsidRDefault="00435892" w:rsidP="00435892">
      <w:pPr>
        <w:pStyle w:val="ListParagraph"/>
        <w:spacing w:after="0" w:line="240" w:lineRule="auto"/>
        <w:ind w:left="792"/>
        <w:rPr>
          <w:rFonts w:ascii="Times New Roman" w:hAnsi="Times New Roman"/>
          <w:sz w:val="24"/>
          <w:szCs w:val="24"/>
          <w:lang w:val="lv-LV"/>
        </w:rPr>
      </w:pPr>
    </w:p>
    <w:p w14:paraId="43A3C353" w14:textId="77777777" w:rsidR="008221B5" w:rsidRPr="007F64A0" w:rsidRDefault="008221B5" w:rsidP="004A20AE">
      <w:pPr>
        <w:pStyle w:val="ListParagraph"/>
        <w:numPr>
          <w:ilvl w:val="0"/>
          <w:numId w:val="4"/>
        </w:numPr>
        <w:spacing w:after="0" w:line="240" w:lineRule="auto"/>
        <w:rPr>
          <w:rFonts w:ascii="Times New Roman" w:hAnsi="Times New Roman"/>
          <w:b/>
          <w:color w:val="000000" w:themeColor="text1"/>
          <w:sz w:val="24"/>
          <w:szCs w:val="24"/>
          <w:lang w:val="lv-LV"/>
        </w:rPr>
      </w:pPr>
      <w:r w:rsidRPr="007F64A0">
        <w:rPr>
          <w:rFonts w:ascii="Times New Roman" w:hAnsi="Times New Roman"/>
          <w:b/>
          <w:color w:val="000000" w:themeColor="text1"/>
          <w:sz w:val="24"/>
          <w:szCs w:val="24"/>
          <w:lang w:val="lv-LV"/>
        </w:rPr>
        <w:t xml:space="preserve">Sistēmas drošības politikas </w:t>
      </w:r>
      <w:r w:rsidR="00695DCE" w:rsidRPr="007F64A0">
        <w:rPr>
          <w:rFonts w:ascii="Times New Roman" w:hAnsi="Times New Roman"/>
          <w:b/>
          <w:color w:val="000000" w:themeColor="text1"/>
          <w:sz w:val="24"/>
          <w:szCs w:val="24"/>
          <w:lang w:val="lv-LV"/>
        </w:rPr>
        <w:t>uzdevumi</w:t>
      </w:r>
    </w:p>
    <w:tbl>
      <w:tblPr>
        <w:tblW w:w="0" w:type="auto"/>
        <w:tblBorders>
          <w:top w:val="single" w:sz="4" w:space="0" w:color="auto"/>
          <w:left w:val="single" w:sz="4" w:space="0" w:color="auto"/>
          <w:bottom w:val="single" w:sz="4" w:space="0" w:color="auto"/>
          <w:right w:val="single" w:sz="4" w:space="0" w:color="auto"/>
        </w:tblBorders>
        <w:shd w:val="clear" w:color="auto" w:fill="FFC000"/>
        <w:tblLook w:val="0000" w:firstRow="0" w:lastRow="0" w:firstColumn="0" w:lastColumn="0" w:noHBand="0" w:noVBand="0"/>
      </w:tblPr>
      <w:tblGrid>
        <w:gridCol w:w="9350"/>
      </w:tblGrid>
      <w:tr w:rsidR="00C84B14" w:rsidRPr="00746E3F" w14:paraId="360827D3" w14:textId="77777777" w:rsidTr="00A52EA5">
        <w:tc>
          <w:tcPr>
            <w:tcW w:w="9576" w:type="dxa"/>
            <w:shd w:val="clear" w:color="auto" w:fill="FFC000"/>
          </w:tcPr>
          <w:p w14:paraId="7C893020" w14:textId="77777777" w:rsidR="00C84B14" w:rsidRPr="0065126C" w:rsidRDefault="00A52EA5" w:rsidP="00A52EA5">
            <w:pPr>
              <w:rPr>
                <w:rFonts w:ascii="Times New Roman" w:hAnsi="Times New Roman"/>
                <w:b/>
                <w:sz w:val="24"/>
                <w:szCs w:val="24"/>
                <w:lang w:val="lv-LV"/>
              </w:rPr>
            </w:pPr>
            <w:r w:rsidRPr="0065126C">
              <w:rPr>
                <w:rFonts w:ascii="Times New Roman" w:eastAsiaTheme="minorHAnsi" w:hAnsi="Times New Roman"/>
                <w:sz w:val="24"/>
                <w:szCs w:val="24"/>
                <w:lang w:val="lv-LV"/>
              </w:rPr>
              <w:t xml:space="preserve">Politikas uzdevumu uzskaitījumā var izmantot MK noteikumu 5.nodaļā minēto pasākumu kopumu, pielāgojot to iestādes vajadzībām. Šeit var atrunāt arī citus uzdevumus, ja </w:t>
            </w:r>
            <w:r w:rsidR="007E5024" w:rsidRPr="0065126C">
              <w:rPr>
                <w:rFonts w:ascii="Times New Roman" w:eastAsiaTheme="minorHAnsi" w:hAnsi="Times New Roman"/>
                <w:sz w:val="24"/>
                <w:szCs w:val="24"/>
                <w:lang w:val="lv-LV"/>
              </w:rPr>
              <w:t xml:space="preserve">tas </w:t>
            </w:r>
            <w:r w:rsidRPr="0065126C">
              <w:rPr>
                <w:rFonts w:ascii="Times New Roman" w:eastAsiaTheme="minorHAnsi" w:hAnsi="Times New Roman"/>
                <w:sz w:val="24"/>
                <w:szCs w:val="24"/>
                <w:lang w:val="lv-LV"/>
              </w:rPr>
              <w:t>nepieciešams attiecīgajai iestādei vai sistēmai.</w:t>
            </w:r>
          </w:p>
        </w:tc>
      </w:tr>
    </w:tbl>
    <w:p w14:paraId="71EC8837" w14:textId="77777777" w:rsidR="00C84B14" w:rsidRPr="00746E3F" w:rsidRDefault="00C84B14" w:rsidP="00435892">
      <w:pPr>
        <w:pStyle w:val="ListParagraph"/>
        <w:spacing w:after="0" w:line="240" w:lineRule="auto"/>
        <w:ind w:left="360"/>
        <w:rPr>
          <w:rFonts w:ascii="Times New Roman" w:hAnsi="Times New Roman"/>
          <w:b/>
          <w:color w:val="FF0000"/>
          <w:sz w:val="24"/>
          <w:szCs w:val="24"/>
          <w:lang w:val="lv-LV"/>
        </w:rPr>
      </w:pPr>
    </w:p>
    <w:p w14:paraId="1A329986" w14:textId="77777777" w:rsidR="000300E5" w:rsidRPr="007F64A0" w:rsidRDefault="000300E5" w:rsidP="004A20AE">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nodrošināt informācijas pieejamību (piekļuvi informācijai noteiktā laikposmā pēc informācijas pieprasīšanas);</w:t>
      </w:r>
    </w:p>
    <w:p w14:paraId="223860C1" w14:textId="77777777" w:rsidR="000300E5" w:rsidRPr="007F64A0" w:rsidRDefault="000300E5" w:rsidP="004A20AE">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nodrošināt informācijas integritāti (pilnīgas un nemainītas informācijas saglabāšanu);</w:t>
      </w:r>
    </w:p>
    <w:p w14:paraId="67E492FE" w14:textId="77777777" w:rsidR="000300E5" w:rsidRPr="007F64A0" w:rsidRDefault="000300E5" w:rsidP="004A20AE">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nodrošināt informācijas konfidencialitāti (informācijas nodošanu tikai tām personām, kuras ir pilnvarotas to saņemt un lietot);</w:t>
      </w:r>
    </w:p>
    <w:p w14:paraId="46E81408" w14:textId="77777777" w:rsidR="000300E5" w:rsidRPr="007F64A0" w:rsidRDefault="005B77E3" w:rsidP="004A20AE">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aizsargāt S</w:t>
      </w:r>
      <w:r w:rsidR="000300E5" w:rsidRPr="007F64A0">
        <w:rPr>
          <w:rFonts w:ascii="Times New Roman" w:hAnsi="Times New Roman"/>
          <w:color w:val="000000" w:themeColor="text1"/>
          <w:sz w:val="24"/>
          <w:szCs w:val="24"/>
          <w:lang w:val="lv-LV"/>
        </w:rPr>
        <w:t>istēmas informācijas resursus;</w:t>
      </w:r>
    </w:p>
    <w:p w14:paraId="5055571D" w14:textId="77777777" w:rsidR="000300E5" w:rsidRPr="007F64A0" w:rsidRDefault="005B77E3" w:rsidP="004A20AE">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aizsargāt S</w:t>
      </w:r>
      <w:r w:rsidR="000300E5" w:rsidRPr="007F64A0">
        <w:rPr>
          <w:rFonts w:ascii="Times New Roman" w:hAnsi="Times New Roman"/>
          <w:color w:val="000000" w:themeColor="text1"/>
          <w:sz w:val="24"/>
          <w:szCs w:val="24"/>
          <w:lang w:val="lv-LV"/>
        </w:rPr>
        <w:t>istēmas tehniskos resursus;</w:t>
      </w:r>
    </w:p>
    <w:p w14:paraId="74FBD610" w14:textId="77777777" w:rsidR="000300E5" w:rsidRPr="007F64A0" w:rsidRDefault="005B77E3" w:rsidP="004A20AE">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noteikt S</w:t>
      </w:r>
      <w:r w:rsidR="000300E5" w:rsidRPr="007F64A0">
        <w:rPr>
          <w:rFonts w:ascii="Times New Roman" w:hAnsi="Times New Roman"/>
          <w:color w:val="000000" w:themeColor="text1"/>
          <w:sz w:val="24"/>
          <w:szCs w:val="24"/>
          <w:lang w:val="lv-LV"/>
        </w:rPr>
        <w:t>istēmas drošības apdraudējumu</w:t>
      </w:r>
      <w:r w:rsidR="007E5024" w:rsidRPr="007F64A0">
        <w:rPr>
          <w:rFonts w:ascii="Times New Roman" w:hAnsi="Times New Roman"/>
          <w:color w:val="000000" w:themeColor="text1"/>
          <w:sz w:val="24"/>
          <w:szCs w:val="24"/>
          <w:lang w:val="lv-LV"/>
        </w:rPr>
        <w:t>s</w:t>
      </w:r>
      <w:r w:rsidR="000300E5" w:rsidRPr="007F64A0">
        <w:rPr>
          <w:rFonts w:ascii="Times New Roman" w:hAnsi="Times New Roman"/>
          <w:color w:val="000000" w:themeColor="text1"/>
          <w:sz w:val="24"/>
          <w:szCs w:val="24"/>
          <w:lang w:val="lv-LV"/>
        </w:rPr>
        <w:t>;</w:t>
      </w:r>
    </w:p>
    <w:p w14:paraId="7C501E8B" w14:textId="77777777" w:rsidR="000300E5" w:rsidRPr="007F64A0" w:rsidRDefault="000300E5" w:rsidP="004A20AE">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 xml:space="preserve">novērtēt </w:t>
      </w:r>
      <w:r w:rsidR="005B77E3" w:rsidRPr="007F64A0">
        <w:rPr>
          <w:rFonts w:ascii="Times New Roman" w:hAnsi="Times New Roman"/>
          <w:color w:val="000000" w:themeColor="text1"/>
          <w:sz w:val="24"/>
          <w:szCs w:val="24"/>
          <w:lang w:val="lv-LV"/>
        </w:rPr>
        <w:t>S</w:t>
      </w:r>
      <w:r w:rsidRPr="007F64A0">
        <w:rPr>
          <w:rFonts w:ascii="Times New Roman" w:hAnsi="Times New Roman"/>
          <w:color w:val="000000" w:themeColor="text1"/>
          <w:sz w:val="24"/>
          <w:szCs w:val="24"/>
          <w:lang w:val="lv-LV"/>
        </w:rPr>
        <w:t>istēmas drošības risku</w:t>
      </w:r>
      <w:r w:rsidR="007E5024" w:rsidRPr="007F64A0">
        <w:rPr>
          <w:rFonts w:ascii="Times New Roman" w:hAnsi="Times New Roman"/>
          <w:color w:val="000000" w:themeColor="text1"/>
          <w:sz w:val="24"/>
          <w:szCs w:val="24"/>
          <w:lang w:val="lv-LV"/>
        </w:rPr>
        <w:t>s</w:t>
      </w:r>
      <w:r w:rsidRPr="007F64A0">
        <w:rPr>
          <w:rFonts w:ascii="Times New Roman" w:hAnsi="Times New Roman"/>
          <w:color w:val="000000" w:themeColor="text1"/>
          <w:sz w:val="24"/>
          <w:szCs w:val="24"/>
          <w:lang w:val="lv-LV"/>
        </w:rPr>
        <w:t>;</w:t>
      </w:r>
    </w:p>
    <w:p w14:paraId="28B0A8B8" w14:textId="77777777" w:rsidR="000300E5" w:rsidRPr="007F64A0" w:rsidRDefault="005B77E3" w:rsidP="004A20AE">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atklāt S</w:t>
      </w:r>
      <w:r w:rsidR="000300E5" w:rsidRPr="007F64A0">
        <w:rPr>
          <w:rFonts w:ascii="Times New Roman" w:hAnsi="Times New Roman"/>
          <w:color w:val="000000" w:themeColor="text1"/>
          <w:sz w:val="24"/>
          <w:szCs w:val="24"/>
          <w:lang w:val="lv-LV"/>
        </w:rPr>
        <w:t>istēmas drošības incidentu</w:t>
      </w:r>
      <w:r w:rsidR="007E5024" w:rsidRPr="007F64A0">
        <w:rPr>
          <w:rFonts w:ascii="Times New Roman" w:hAnsi="Times New Roman"/>
          <w:color w:val="000000" w:themeColor="text1"/>
          <w:sz w:val="24"/>
          <w:szCs w:val="24"/>
          <w:lang w:val="lv-LV"/>
        </w:rPr>
        <w:t>s</w:t>
      </w:r>
      <w:r w:rsidR="000300E5" w:rsidRPr="007F64A0">
        <w:rPr>
          <w:rFonts w:ascii="Times New Roman" w:hAnsi="Times New Roman"/>
          <w:color w:val="000000" w:themeColor="text1"/>
          <w:sz w:val="24"/>
          <w:szCs w:val="24"/>
          <w:lang w:val="lv-LV"/>
        </w:rPr>
        <w:t>;</w:t>
      </w:r>
    </w:p>
    <w:p w14:paraId="1C4555D1" w14:textId="77777777" w:rsidR="008221B5" w:rsidRPr="007F64A0" w:rsidRDefault="000300E5" w:rsidP="004A20AE">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 xml:space="preserve">atjaunotu </w:t>
      </w:r>
      <w:r w:rsidR="005B77E3" w:rsidRPr="007F64A0">
        <w:rPr>
          <w:rFonts w:ascii="Times New Roman" w:hAnsi="Times New Roman"/>
          <w:color w:val="000000" w:themeColor="text1"/>
          <w:sz w:val="24"/>
          <w:szCs w:val="24"/>
          <w:lang w:val="lv-LV"/>
        </w:rPr>
        <w:t>S</w:t>
      </w:r>
      <w:r w:rsidRPr="007F64A0">
        <w:rPr>
          <w:rFonts w:ascii="Times New Roman" w:hAnsi="Times New Roman"/>
          <w:color w:val="000000" w:themeColor="text1"/>
          <w:sz w:val="24"/>
          <w:szCs w:val="24"/>
          <w:lang w:val="lv-LV"/>
        </w:rPr>
        <w:t xml:space="preserve">istēmas darbību </w:t>
      </w:r>
      <w:r w:rsidR="00435892" w:rsidRPr="007F64A0">
        <w:rPr>
          <w:rFonts w:ascii="Times New Roman" w:hAnsi="Times New Roman"/>
          <w:color w:val="000000" w:themeColor="text1"/>
          <w:sz w:val="24"/>
          <w:szCs w:val="24"/>
          <w:lang w:val="lv-LV"/>
        </w:rPr>
        <w:t>pēc sistēmas drošības incident</w:t>
      </w:r>
      <w:r w:rsidR="007E5024" w:rsidRPr="007F64A0">
        <w:rPr>
          <w:rFonts w:ascii="Times New Roman" w:hAnsi="Times New Roman"/>
          <w:color w:val="000000" w:themeColor="text1"/>
          <w:sz w:val="24"/>
          <w:szCs w:val="24"/>
          <w:lang w:val="lv-LV"/>
        </w:rPr>
        <w:t>iem.</w:t>
      </w:r>
    </w:p>
    <w:p w14:paraId="2AF9E488" w14:textId="77777777" w:rsidR="00435892" w:rsidRPr="007F64A0" w:rsidRDefault="00435892" w:rsidP="00435892">
      <w:pPr>
        <w:pStyle w:val="ListParagraph"/>
        <w:spacing w:after="0" w:line="240" w:lineRule="auto"/>
        <w:ind w:left="792"/>
        <w:rPr>
          <w:rFonts w:ascii="Times New Roman" w:hAnsi="Times New Roman"/>
          <w:color w:val="000000" w:themeColor="text1"/>
          <w:sz w:val="24"/>
          <w:szCs w:val="24"/>
          <w:lang w:val="lv-LV"/>
        </w:rPr>
      </w:pPr>
    </w:p>
    <w:p w14:paraId="4FC0F253" w14:textId="77777777" w:rsidR="001A4FCD" w:rsidRPr="007F64A0" w:rsidRDefault="00B03BA5" w:rsidP="004A20AE">
      <w:pPr>
        <w:pStyle w:val="ListParagraph"/>
        <w:numPr>
          <w:ilvl w:val="0"/>
          <w:numId w:val="4"/>
        </w:numPr>
        <w:spacing w:after="0" w:line="240" w:lineRule="auto"/>
        <w:rPr>
          <w:rFonts w:ascii="Times New Roman" w:hAnsi="Times New Roman"/>
          <w:b/>
          <w:color w:val="000000" w:themeColor="text1"/>
          <w:sz w:val="24"/>
          <w:szCs w:val="24"/>
          <w:lang w:val="lv-LV"/>
        </w:rPr>
      </w:pPr>
      <w:r w:rsidRPr="007F64A0">
        <w:rPr>
          <w:rFonts w:ascii="Times New Roman" w:hAnsi="Times New Roman"/>
          <w:b/>
          <w:color w:val="000000" w:themeColor="text1"/>
          <w:sz w:val="24"/>
          <w:szCs w:val="24"/>
          <w:lang w:val="lv-LV"/>
        </w:rPr>
        <w:t>S</w:t>
      </w:r>
      <w:r w:rsidR="001A4FCD" w:rsidRPr="007F64A0">
        <w:rPr>
          <w:rFonts w:ascii="Times New Roman" w:hAnsi="Times New Roman"/>
          <w:b/>
          <w:color w:val="000000" w:themeColor="text1"/>
          <w:sz w:val="24"/>
          <w:szCs w:val="24"/>
          <w:lang w:val="lv-LV"/>
        </w:rPr>
        <w:t xml:space="preserve">istēmas </w:t>
      </w:r>
      <w:r w:rsidR="00BF06BD" w:rsidRPr="007F64A0">
        <w:rPr>
          <w:rFonts w:ascii="Times New Roman" w:hAnsi="Times New Roman"/>
          <w:b/>
          <w:color w:val="000000" w:themeColor="text1"/>
          <w:sz w:val="24"/>
          <w:szCs w:val="24"/>
          <w:lang w:val="lv-LV"/>
        </w:rPr>
        <w:t xml:space="preserve">raksturojums </w:t>
      </w:r>
      <w:r w:rsidR="00EF6845" w:rsidRPr="007F64A0">
        <w:rPr>
          <w:rFonts w:ascii="Times New Roman" w:hAnsi="Times New Roman"/>
          <w:b/>
          <w:color w:val="000000" w:themeColor="text1"/>
          <w:sz w:val="24"/>
          <w:szCs w:val="24"/>
          <w:lang w:val="lv-LV"/>
        </w:rPr>
        <w:t xml:space="preserve">un </w:t>
      </w:r>
      <w:r w:rsidR="00BF06BD" w:rsidRPr="007F64A0">
        <w:rPr>
          <w:rFonts w:ascii="Times New Roman" w:hAnsi="Times New Roman"/>
          <w:b/>
          <w:color w:val="000000" w:themeColor="text1"/>
          <w:sz w:val="24"/>
          <w:szCs w:val="24"/>
          <w:lang w:val="lv-LV"/>
        </w:rPr>
        <w:t xml:space="preserve">analīze </w:t>
      </w:r>
      <w:r w:rsidR="00EF6845" w:rsidRPr="007F64A0">
        <w:rPr>
          <w:rFonts w:ascii="Times New Roman" w:hAnsi="Times New Roman"/>
          <w:b/>
          <w:color w:val="000000" w:themeColor="text1"/>
          <w:sz w:val="24"/>
          <w:szCs w:val="24"/>
          <w:lang w:val="lv-LV"/>
        </w:rPr>
        <w:t>drošības jomā</w:t>
      </w:r>
    </w:p>
    <w:tbl>
      <w:tblPr>
        <w:tblW w:w="0" w:type="auto"/>
        <w:tblBorders>
          <w:top w:val="single" w:sz="4" w:space="0" w:color="auto"/>
          <w:left w:val="single" w:sz="4" w:space="0" w:color="auto"/>
          <w:bottom w:val="single" w:sz="4" w:space="0" w:color="auto"/>
          <w:right w:val="single" w:sz="4" w:space="0" w:color="auto"/>
        </w:tblBorders>
        <w:shd w:val="clear" w:color="auto" w:fill="FFC000"/>
        <w:tblLook w:val="0000" w:firstRow="0" w:lastRow="0" w:firstColumn="0" w:lastColumn="0" w:noHBand="0" w:noVBand="0"/>
      </w:tblPr>
      <w:tblGrid>
        <w:gridCol w:w="9350"/>
      </w:tblGrid>
      <w:tr w:rsidR="00C84B14" w:rsidRPr="00746E3F" w14:paraId="51805E8B" w14:textId="77777777" w:rsidTr="00A52EA5">
        <w:tc>
          <w:tcPr>
            <w:tcW w:w="9576" w:type="dxa"/>
            <w:shd w:val="clear" w:color="auto" w:fill="FFC000"/>
          </w:tcPr>
          <w:p w14:paraId="381D277B" w14:textId="77777777" w:rsidR="00C84B14" w:rsidRPr="00746E3F" w:rsidRDefault="00A52EA5" w:rsidP="00BF06BD">
            <w:pPr>
              <w:pStyle w:val="Heading"/>
              <w:rPr>
                <w:rFonts w:ascii="Times New Roman" w:hAnsi="Times New Roman" w:cs="Times New Roman"/>
                <w:b/>
                <w:sz w:val="24"/>
                <w:szCs w:val="24"/>
              </w:rPr>
            </w:pPr>
            <w:r w:rsidRPr="00746E3F">
              <w:rPr>
                <w:rFonts w:ascii="Times New Roman" w:hAnsi="Times New Roman" w:cs="Times New Roman"/>
                <w:sz w:val="24"/>
                <w:szCs w:val="24"/>
              </w:rPr>
              <w:t>Šeit nepieciešams augsta līmeņa sistēmas apraksts, kādām iestādes funkcijām tā paredzēta, lietotāju raksturojums.</w:t>
            </w:r>
            <w:r w:rsidR="00BF06BD" w:rsidRPr="00746E3F">
              <w:rPr>
                <w:rFonts w:ascii="Times New Roman" w:hAnsi="Times New Roman" w:cs="Times New Roman"/>
                <w:sz w:val="24"/>
                <w:szCs w:val="24"/>
              </w:rPr>
              <w:t xml:space="preserve"> Gadījumā, ja dokuments tiek veidots par vairākām sistēmām šeit jāapraksta visas</w:t>
            </w:r>
          </w:p>
        </w:tc>
      </w:tr>
    </w:tbl>
    <w:p w14:paraId="44B7D190" w14:textId="77777777" w:rsidR="00C84B14" w:rsidRPr="00746E3F" w:rsidRDefault="00C84B14" w:rsidP="00C84B14">
      <w:pPr>
        <w:pStyle w:val="Heading"/>
        <w:ind w:left="360"/>
        <w:rPr>
          <w:rFonts w:ascii="Times New Roman" w:hAnsi="Times New Roman" w:cs="Times New Roman"/>
          <w:b/>
          <w:sz w:val="24"/>
          <w:szCs w:val="24"/>
        </w:rPr>
      </w:pPr>
    </w:p>
    <w:p w14:paraId="5AEF5DB3" w14:textId="77777777" w:rsidR="00435892" w:rsidRPr="00746E3F" w:rsidRDefault="00435892" w:rsidP="00435892">
      <w:pPr>
        <w:pStyle w:val="ListParagraph"/>
        <w:spacing w:after="0" w:line="240" w:lineRule="auto"/>
        <w:ind w:left="360"/>
        <w:rPr>
          <w:rFonts w:ascii="Times New Roman" w:hAnsi="Times New Roman"/>
          <w:b/>
          <w:color w:val="FF0000"/>
          <w:sz w:val="24"/>
          <w:szCs w:val="24"/>
          <w:lang w:val="lv-LV"/>
        </w:rPr>
      </w:pPr>
    </w:p>
    <w:p w14:paraId="2BEA7472" w14:textId="77777777" w:rsidR="00AD5084" w:rsidRDefault="002241E0" w:rsidP="004A20AE">
      <w:pPr>
        <w:pStyle w:val="ListParagraph"/>
        <w:numPr>
          <w:ilvl w:val="1"/>
          <w:numId w:val="4"/>
        </w:numPr>
        <w:spacing w:after="0" w:line="240" w:lineRule="auto"/>
        <w:rPr>
          <w:rFonts w:ascii="Times New Roman" w:hAnsi="Times New Roman"/>
          <w:sz w:val="24"/>
          <w:szCs w:val="24"/>
          <w:lang w:val="lv-LV"/>
        </w:rPr>
      </w:pPr>
      <w:r w:rsidRPr="00746E3F">
        <w:rPr>
          <w:rFonts w:ascii="Times New Roman" w:hAnsi="Times New Roman"/>
          <w:sz w:val="24"/>
          <w:szCs w:val="24"/>
          <w:lang w:val="lv-LV"/>
        </w:rPr>
        <w:t>Sistēma paredzēta iestādes funkciju nodrošināšanai</w:t>
      </w:r>
      <w:r w:rsidR="00E869C5">
        <w:rPr>
          <w:rFonts w:ascii="Times New Roman" w:hAnsi="Times New Roman"/>
          <w:sz w:val="24"/>
          <w:szCs w:val="24"/>
          <w:lang w:val="lv-LV"/>
        </w:rPr>
        <w:t>:</w:t>
      </w:r>
    </w:p>
    <w:p w14:paraId="5C81F9C7" w14:textId="77777777" w:rsidR="008221B5" w:rsidRPr="00746E3F" w:rsidRDefault="008221B5" w:rsidP="004A20AE">
      <w:pPr>
        <w:pStyle w:val="ListParagraph"/>
        <w:numPr>
          <w:ilvl w:val="1"/>
          <w:numId w:val="4"/>
        </w:numPr>
        <w:spacing w:after="0" w:line="240" w:lineRule="auto"/>
        <w:rPr>
          <w:rFonts w:ascii="Times New Roman" w:hAnsi="Times New Roman"/>
          <w:sz w:val="24"/>
          <w:szCs w:val="24"/>
          <w:lang w:val="lv-LV"/>
        </w:rPr>
      </w:pPr>
      <w:r w:rsidRPr="00746E3F">
        <w:rPr>
          <w:rFonts w:ascii="Times New Roman" w:hAnsi="Times New Roman"/>
          <w:sz w:val="24"/>
          <w:szCs w:val="24"/>
          <w:lang w:val="lv-LV"/>
        </w:rPr>
        <w:t>Sistēmā apstrādātie dati, to klasifikācijas līmenis</w:t>
      </w:r>
      <w:r w:rsidR="00E869C5">
        <w:rPr>
          <w:rFonts w:ascii="Times New Roman" w:hAnsi="Times New Roman"/>
          <w:sz w:val="24"/>
          <w:szCs w:val="24"/>
          <w:lang w:val="lv-LV"/>
        </w:rPr>
        <w:t>:</w:t>
      </w:r>
    </w:p>
    <w:p w14:paraId="01582243" w14:textId="77777777" w:rsidR="00E869C5" w:rsidRDefault="008221B5" w:rsidP="004A20AE">
      <w:pPr>
        <w:pStyle w:val="ListParagraph"/>
        <w:numPr>
          <w:ilvl w:val="1"/>
          <w:numId w:val="4"/>
        </w:numPr>
        <w:spacing w:after="0" w:line="240" w:lineRule="auto"/>
        <w:rPr>
          <w:rFonts w:ascii="Times New Roman" w:hAnsi="Times New Roman"/>
          <w:sz w:val="24"/>
          <w:szCs w:val="24"/>
          <w:lang w:val="lv-LV"/>
        </w:rPr>
      </w:pPr>
      <w:r w:rsidRPr="00E869C5">
        <w:rPr>
          <w:rFonts w:ascii="Times New Roman" w:hAnsi="Times New Roman"/>
          <w:sz w:val="24"/>
          <w:szCs w:val="24"/>
          <w:lang w:val="lv-LV"/>
        </w:rPr>
        <w:t>Sistēmas lietotāji</w:t>
      </w:r>
      <w:r w:rsidR="00AD5084" w:rsidRPr="00E869C5">
        <w:rPr>
          <w:rFonts w:ascii="Times New Roman" w:hAnsi="Times New Roman"/>
          <w:sz w:val="24"/>
          <w:szCs w:val="24"/>
          <w:lang w:val="lv-LV"/>
        </w:rPr>
        <w:t>/lietotāju tipi</w:t>
      </w:r>
      <w:r w:rsidR="00E869C5">
        <w:rPr>
          <w:rFonts w:ascii="Times New Roman" w:hAnsi="Times New Roman"/>
          <w:sz w:val="24"/>
          <w:szCs w:val="24"/>
          <w:lang w:val="lv-LV"/>
        </w:rPr>
        <w:t>:</w:t>
      </w:r>
      <w:r w:rsidRPr="00E869C5">
        <w:rPr>
          <w:rFonts w:ascii="Times New Roman" w:hAnsi="Times New Roman"/>
          <w:sz w:val="24"/>
          <w:szCs w:val="24"/>
          <w:lang w:val="lv-LV"/>
        </w:rPr>
        <w:t xml:space="preserve"> </w:t>
      </w:r>
    </w:p>
    <w:p w14:paraId="2D270516" w14:textId="77777777" w:rsidR="00AD5084" w:rsidRPr="00E869C5" w:rsidRDefault="00E869C5" w:rsidP="004A20AE">
      <w:pPr>
        <w:pStyle w:val="ListParagraph"/>
        <w:numPr>
          <w:ilvl w:val="1"/>
          <w:numId w:val="4"/>
        </w:numPr>
        <w:spacing w:after="0" w:line="240" w:lineRule="auto"/>
        <w:rPr>
          <w:rFonts w:ascii="Times New Roman" w:hAnsi="Times New Roman"/>
          <w:sz w:val="24"/>
          <w:szCs w:val="24"/>
          <w:lang w:val="lv-LV"/>
        </w:rPr>
      </w:pPr>
      <w:r>
        <w:rPr>
          <w:rFonts w:ascii="Times New Roman" w:hAnsi="Times New Roman"/>
          <w:sz w:val="24"/>
          <w:szCs w:val="24"/>
          <w:lang w:val="lv-LV"/>
        </w:rPr>
        <w:t>S</w:t>
      </w:r>
      <w:r w:rsidR="00AD5084" w:rsidRPr="00E869C5">
        <w:rPr>
          <w:rFonts w:ascii="Times New Roman" w:hAnsi="Times New Roman"/>
          <w:sz w:val="24"/>
          <w:szCs w:val="24"/>
          <w:lang w:val="lv-LV"/>
        </w:rPr>
        <w:t>aistītās sistēmas</w:t>
      </w:r>
      <w:r>
        <w:rPr>
          <w:rFonts w:ascii="Times New Roman" w:hAnsi="Times New Roman"/>
          <w:sz w:val="24"/>
          <w:szCs w:val="24"/>
          <w:lang w:val="lv-LV"/>
        </w:rPr>
        <w:t>:</w:t>
      </w:r>
    </w:p>
    <w:p w14:paraId="4CFADEEE" w14:textId="77777777" w:rsidR="00435892" w:rsidRPr="00746E3F" w:rsidRDefault="00435892" w:rsidP="00435892">
      <w:pPr>
        <w:pStyle w:val="ListParagraph"/>
        <w:spacing w:after="0" w:line="240" w:lineRule="auto"/>
        <w:ind w:left="792"/>
        <w:rPr>
          <w:rFonts w:ascii="Times New Roman" w:hAnsi="Times New Roman"/>
          <w:sz w:val="24"/>
          <w:szCs w:val="24"/>
          <w:lang w:val="lv-LV"/>
        </w:rPr>
      </w:pPr>
    </w:p>
    <w:p w14:paraId="4F472FCE" w14:textId="77777777" w:rsidR="00B03BA5" w:rsidRPr="007F64A0" w:rsidRDefault="001A4FCD" w:rsidP="004A20AE">
      <w:pPr>
        <w:pStyle w:val="ListParagraph"/>
        <w:numPr>
          <w:ilvl w:val="0"/>
          <w:numId w:val="4"/>
        </w:numPr>
        <w:spacing w:after="0" w:line="240" w:lineRule="auto"/>
        <w:rPr>
          <w:rFonts w:ascii="Times New Roman" w:hAnsi="Times New Roman"/>
          <w:b/>
          <w:color w:val="000000" w:themeColor="text1"/>
          <w:sz w:val="24"/>
          <w:szCs w:val="24"/>
          <w:lang w:val="lv-LV"/>
        </w:rPr>
      </w:pPr>
      <w:r w:rsidRPr="007F64A0">
        <w:rPr>
          <w:rFonts w:ascii="Times New Roman" w:hAnsi="Times New Roman"/>
          <w:b/>
          <w:color w:val="000000" w:themeColor="text1"/>
          <w:sz w:val="24"/>
          <w:szCs w:val="24"/>
          <w:lang w:val="lv-LV"/>
        </w:rPr>
        <w:t>Sistēmas drošības pārv</w:t>
      </w:r>
      <w:r w:rsidR="00EF6845" w:rsidRPr="007F64A0">
        <w:rPr>
          <w:rFonts w:ascii="Times New Roman" w:hAnsi="Times New Roman"/>
          <w:b/>
          <w:color w:val="000000" w:themeColor="text1"/>
          <w:sz w:val="24"/>
          <w:szCs w:val="24"/>
          <w:lang w:val="lv-LV"/>
        </w:rPr>
        <w:t>aldības organizācijas princip</w:t>
      </w:r>
      <w:r w:rsidR="006C0863" w:rsidRPr="007F64A0">
        <w:rPr>
          <w:rFonts w:ascii="Times New Roman" w:hAnsi="Times New Roman"/>
          <w:b/>
          <w:color w:val="000000" w:themeColor="text1"/>
          <w:sz w:val="24"/>
          <w:szCs w:val="24"/>
          <w:lang w:val="lv-LV"/>
        </w:rPr>
        <w:t>i</w:t>
      </w:r>
    </w:p>
    <w:tbl>
      <w:tblPr>
        <w:tblW w:w="0" w:type="auto"/>
        <w:tblBorders>
          <w:top w:val="single" w:sz="4" w:space="0" w:color="auto"/>
          <w:left w:val="single" w:sz="4" w:space="0" w:color="auto"/>
          <w:bottom w:val="single" w:sz="4" w:space="0" w:color="auto"/>
          <w:right w:val="single" w:sz="4" w:space="0" w:color="auto"/>
        </w:tblBorders>
        <w:shd w:val="clear" w:color="auto" w:fill="FFC000"/>
        <w:tblLook w:val="0000" w:firstRow="0" w:lastRow="0" w:firstColumn="0" w:lastColumn="0" w:noHBand="0" w:noVBand="0"/>
      </w:tblPr>
      <w:tblGrid>
        <w:gridCol w:w="9350"/>
      </w:tblGrid>
      <w:tr w:rsidR="00C84B14" w:rsidRPr="00746E3F" w14:paraId="589B733B" w14:textId="77777777" w:rsidTr="00A52EA5">
        <w:tc>
          <w:tcPr>
            <w:tcW w:w="9576" w:type="dxa"/>
            <w:shd w:val="clear" w:color="auto" w:fill="FFC000"/>
          </w:tcPr>
          <w:p w14:paraId="7901E42C" w14:textId="77777777" w:rsidR="00C84B14" w:rsidRPr="00746E3F" w:rsidRDefault="00A52EA5" w:rsidP="007F425E">
            <w:pPr>
              <w:pStyle w:val="Heading"/>
              <w:rPr>
                <w:rFonts w:ascii="Times New Roman" w:hAnsi="Times New Roman" w:cs="Times New Roman"/>
                <w:sz w:val="24"/>
                <w:szCs w:val="24"/>
              </w:rPr>
            </w:pPr>
            <w:r w:rsidRPr="00746E3F">
              <w:rPr>
                <w:rFonts w:ascii="Times New Roman" w:hAnsi="Times New Roman" w:cs="Times New Roman"/>
                <w:sz w:val="24"/>
                <w:szCs w:val="24"/>
              </w:rPr>
              <w:t>Aprakstīt</w:t>
            </w:r>
            <w:r w:rsidR="00746E3F">
              <w:rPr>
                <w:rFonts w:ascii="Times New Roman" w:hAnsi="Times New Roman" w:cs="Times New Roman"/>
                <w:sz w:val="24"/>
                <w:szCs w:val="24"/>
              </w:rPr>
              <w:t>,</w:t>
            </w:r>
            <w:r w:rsidRPr="00746E3F">
              <w:rPr>
                <w:rFonts w:ascii="Times New Roman" w:hAnsi="Times New Roman" w:cs="Times New Roman"/>
                <w:sz w:val="24"/>
                <w:szCs w:val="24"/>
              </w:rPr>
              <w:t xml:space="preserve"> kā iestādē organizēta attiecīgās sistēmas drošības pārvaldība. Uzmanību vēlams pievērst skaidri definētam pienākumu un atbildības sadalījumam. Šeit ieteicams aprakstīt arī atbildību par politikas prasību neievērošanu</w:t>
            </w:r>
            <w:r w:rsidR="007E5024" w:rsidRPr="00746E3F">
              <w:rPr>
                <w:rFonts w:ascii="Times New Roman" w:hAnsi="Times New Roman" w:cs="Times New Roman"/>
                <w:sz w:val="24"/>
                <w:szCs w:val="24"/>
              </w:rPr>
              <w:t>.</w:t>
            </w:r>
          </w:p>
        </w:tc>
      </w:tr>
    </w:tbl>
    <w:p w14:paraId="5EA07307" w14:textId="77777777" w:rsidR="00435892" w:rsidRPr="00746E3F" w:rsidRDefault="00435892" w:rsidP="00435892">
      <w:pPr>
        <w:pStyle w:val="ListParagraph"/>
        <w:spacing w:after="0" w:line="240" w:lineRule="auto"/>
        <w:ind w:left="360"/>
        <w:rPr>
          <w:rFonts w:ascii="Times New Roman" w:hAnsi="Times New Roman"/>
          <w:b/>
          <w:color w:val="FF0000"/>
          <w:sz w:val="24"/>
          <w:szCs w:val="24"/>
          <w:lang w:val="lv-LV"/>
        </w:rPr>
      </w:pPr>
    </w:p>
    <w:p w14:paraId="4C69B027" w14:textId="77777777" w:rsidR="00562DBD" w:rsidRPr="00746E3F" w:rsidRDefault="00562DBD" w:rsidP="00E869C5">
      <w:pPr>
        <w:pStyle w:val="ListParagraph"/>
        <w:numPr>
          <w:ilvl w:val="1"/>
          <w:numId w:val="4"/>
        </w:numPr>
        <w:spacing w:after="0" w:line="240" w:lineRule="auto"/>
        <w:rPr>
          <w:rFonts w:ascii="Times New Roman" w:hAnsi="Times New Roman"/>
          <w:sz w:val="24"/>
          <w:szCs w:val="24"/>
          <w:lang w:val="lv-LV"/>
        </w:rPr>
      </w:pPr>
    </w:p>
    <w:p w14:paraId="0D97B57E" w14:textId="77777777" w:rsidR="00AD5084" w:rsidRPr="00746E3F" w:rsidRDefault="00AD5084" w:rsidP="0065126C">
      <w:pPr>
        <w:pStyle w:val="ListParagraph"/>
        <w:spacing w:after="0" w:line="240" w:lineRule="auto"/>
        <w:ind w:left="1224"/>
        <w:rPr>
          <w:rFonts w:ascii="Times New Roman" w:hAnsi="Times New Roman"/>
          <w:sz w:val="24"/>
          <w:szCs w:val="24"/>
          <w:lang w:val="lv-LV"/>
        </w:rPr>
      </w:pPr>
    </w:p>
    <w:p w14:paraId="101A56C7" w14:textId="77777777" w:rsidR="00435892" w:rsidRPr="00746E3F" w:rsidRDefault="00435892" w:rsidP="00435892">
      <w:pPr>
        <w:pStyle w:val="ListParagraph"/>
        <w:spacing w:after="0" w:line="240" w:lineRule="auto"/>
        <w:ind w:left="1224"/>
        <w:rPr>
          <w:rFonts w:ascii="Times New Roman" w:hAnsi="Times New Roman"/>
          <w:sz w:val="24"/>
          <w:szCs w:val="24"/>
          <w:lang w:val="lv-LV"/>
        </w:rPr>
      </w:pPr>
    </w:p>
    <w:p w14:paraId="5D7FC604" w14:textId="77777777" w:rsidR="001A4FCD" w:rsidRPr="007F64A0" w:rsidRDefault="001A4FCD" w:rsidP="004A20AE">
      <w:pPr>
        <w:pStyle w:val="ListParagraph"/>
        <w:numPr>
          <w:ilvl w:val="0"/>
          <w:numId w:val="4"/>
        </w:numPr>
        <w:spacing w:after="0" w:line="240" w:lineRule="auto"/>
        <w:rPr>
          <w:rFonts w:ascii="Times New Roman" w:hAnsi="Times New Roman"/>
          <w:b/>
          <w:color w:val="000000" w:themeColor="text1"/>
          <w:sz w:val="24"/>
          <w:szCs w:val="24"/>
          <w:lang w:val="lv-LV"/>
        </w:rPr>
      </w:pPr>
      <w:r w:rsidRPr="007F64A0">
        <w:rPr>
          <w:rFonts w:ascii="Times New Roman" w:hAnsi="Times New Roman"/>
          <w:b/>
          <w:color w:val="000000" w:themeColor="text1"/>
          <w:sz w:val="24"/>
          <w:szCs w:val="24"/>
          <w:lang w:val="lv-LV"/>
        </w:rPr>
        <w:t>Sistēmas drošības atbilstīb</w:t>
      </w:r>
      <w:r w:rsidR="00EF6845" w:rsidRPr="007F64A0">
        <w:rPr>
          <w:rFonts w:ascii="Times New Roman" w:hAnsi="Times New Roman"/>
          <w:b/>
          <w:color w:val="000000" w:themeColor="text1"/>
          <w:sz w:val="24"/>
          <w:szCs w:val="24"/>
          <w:lang w:val="lv-LV"/>
        </w:rPr>
        <w:t>a</w:t>
      </w:r>
      <w:r w:rsidRPr="007F64A0">
        <w:rPr>
          <w:rFonts w:ascii="Times New Roman" w:hAnsi="Times New Roman"/>
          <w:b/>
          <w:color w:val="000000" w:themeColor="text1"/>
          <w:sz w:val="24"/>
          <w:szCs w:val="24"/>
          <w:lang w:val="lv-LV"/>
        </w:rPr>
        <w:t xml:space="preserve"> norm</w:t>
      </w:r>
      <w:r w:rsidR="00EF6845" w:rsidRPr="007F64A0">
        <w:rPr>
          <w:rFonts w:ascii="Times New Roman" w:hAnsi="Times New Roman"/>
          <w:b/>
          <w:color w:val="000000" w:themeColor="text1"/>
          <w:sz w:val="24"/>
          <w:szCs w:val="24"/>
          <w:lang w:val="lv-LV"/>
        </w:rPr>
        <w:t>atīvajiem aktiem un standartiem</w:t>
      </w:r>
    </w:p>
    <w:tbl>
      <w:tblPr>
        <w:tblW w:w="0" w:type="auto"/>
        <w:tblBorders>
          <w:top w:val="single" w:sz="4" w:space="0" w:color="auto"/>
          <w:left w:val="single" w:sz="4" w:space="0" w:color="auto"/>
          <w:bottom w:val="single" w:sz="4" w:space="0" w:color="auto"/>
          <w:right w:val="single" w:sz="4" w:space="0" w:color="auto"/>
        </w:tblBorders>
        <w:shd w:val="clear" w:color="auto" w:fill="FFC000"/>
        <w:tblLook w:val="0000" w:firstRow="0" w:lastRow="0" w:firstColumn="0" w:lastColumn="0" w:noHBand="0" w:noVBand="0"/>
      </w:tblPr>
      <w:tblGrid>
        <w:gridCol w:w="9350"/>
      </w:tblGrid>
      <w:tr w:rsidR="00C84B14" w:rsidRPr="00746E3F" w14:paraId="67E91C44" w14:textId="77777777" w:rsidTr="00A52EA5">
        <w:tc>
          <w:tcPr>
            <w:tcW w:w="9576" w:type="dxa"/>
            <w:shd w:val="clear" w:color="auto" w:fill="FFC000"/>
          </w:tcPr>
          <w:p w14:paraId="09DC6A5D" w14:textId="77777777" w:rsidR="00C84B14" w:rsidRPr="00746E3F" w:rsidRDefault="00A52EA5" w:rsidP="007F425E">
            <w:pPr>
              <w:pStyle w:val="Heading"/>
              <w:rPr>
                <w:rFonts w:ascii="Times New Roman" w:hAnsi="Times New Roman" w:cs="Times New Roman"/>
                <w:sz w:val="24"/>
                <w:szCs w:val="24"/>
              </w:rPr>
            </w:pPr>
            <w:r w:rsidRPr="00746E3F">
              <w:rPr>
                <w:rFonts w:ascii="Times New Roman" w:hAnsi="Times New Roman" w:cs="Times New Roman"/>
                <w:sz w:val="24"/>
                <w:szCs w:val="24"/>
              </w:rPr>
              <w:t>Uzskaitīt normatīvos aktus un standartus, kas ir piemērojami Sistēmas drošībai. Plaši izmantots informācijas drošības pārvaldības standarts ir ISO 27001 “Informācijas tehnoloģija. Drošības paņēmieni. Informācijas drošības pārvaldības sistēmas. Prasības”. Šis standarts ir izmantots arī, piemēram</w:t>
            </w:r>
            <w:r w:rsidR="005D690A" w:rsidRPr="00746E3F">
              <w:rPr>
                <w:rFonts w:ascii="Times New Roman" w:hAnsi="Times New Roman" w:cs="Times New Roman"/>
                <w:sz w:val="24"/>
                <w:szCs w:val="24"/>
              </w:rPr>
              <w:t>,</w:t>
            </w:r>
            <w:r w:rsidRPr="00746E3F">
              <w:rPr>
                <w:rFonts w:ascii="Times New Roman" w:hAnsi="Times New Roman" w:cs="Times New Roman"/>
                <w:sz w:val="24"/>
                <w:szCs w:val="24"/>
              </w:rPr>
              <w:t xml:space="preserve"> Ministru kabineta noteikumos “Kredītinformācijas biroju licencēšanas un uzraudzības noteikumi</w:t>
            </w:r>
            <w:r w:rsidR="005D690A" w:rsidRPr="00746E3F">
              <w:rPr>
                <w:rFonts w:ascii="Times New Roman" w:hAnsi="Times New Roman" w:cs="Times New Roman"/>
                <w:sz w:val="24"/>
                <w:szCs w:val="24"/>
              </w:rPr>
              <w:t>”</w:t>
            </w:r>
            <w:r w:rsidRPr="00746E3F">
              <w:rPr>
                <w:rFonts w:ascii="Times New Roman" w:hAnsi="Times New Roman" w:cs="Times New Roman"/>
                <w:sz w:val="24"/>
                <w:szCs w:val="24"/>
              </w:rPr>
              <w:t xml:space="preserve"> un </w:t>
            </w:r>
            <w:r w:rsidR="005D690A" w:rsidRPr="00746E3F">
              <w:rPr>
                <w:rFonts w:ascii="Times New Roman" w:hAnsi="Times New Roman" w:cs="Times New Roman"/>
                <w:sz w:val="24"/>
                <w:szCs w:val="24"/>
              </w:rPr>
              <w:t>“</w:t>
            </w:r>
            <w:r w:rsidRPr="00746E3F">
              <w:rPr>
                <w:rFonts w:ascii="Times New Roman" w:hAnsi="Times New Roman" w:cs="Times New Roman"/>
                <w:sz w:val="24"/>
                <w:szCs w:val="24"/>
              </w:rPr>
              <w:t>Parakstu vākšanas tiešsaistes sistēmu drošības un tehniskās prasības</w:t>
            </w:r>
            <w:r w:rsidR="005D690A" w:rsidRPr="00746E3F">
              <w:rPr>
                <w:rFonts w:ascii="Times New Roman" w:hAnsi="Times New Roman" w:cs="Times New Roman"/>
                <w:sz w:val="24"/>
                <w:szCs w:val="24"/>
              </w:rPr>
              <w:t>”</w:t>
            </w:r>
            <w:r w:rsidRPr="00746E3F">
              <w:rPr>
                <w:rFonts w:ascii="Times New Roman" w:hAnsi="Times New Roman" w:cs="Times New Roman"/>
                <w:sz w:val="24"/>
                <w:szCs w:val="24"/>
              </w:rPr>
              <w:t>. Nepieciešamības gadījumā vēlams uzskaitīt Sistēmai vai Iestādei specifiskus noteikumus vai standartus</w:t>
            </w:r>
            <w:r w:rsidR="005D690A" w:rsidRPr="00746E3F">
              <w:rPr>
                <w:rFonts w:ascii="Times New Roman" w:hAnsi="Times New Roman" w:cs="Times New Roman"/>
                <w:sz w:val="24"/>
                <w:szCs w:val="24"/>
              </w:rPr>
              <w:t>.</w:t>
            </w:r>
          </w:p>
        </w:tc>
      </w:tr>
    </w:tbl>
    <w:p w14:paraId="74EE5C87" w14:textId="77777777" w:rsidR="00C84B14" w:rsidRPr="00746E3F" w:rsidRDefault="00C84B14" w:rsidP="00C84B14">
      <w:pPr>
        <w:pStyle w:val="Heading"/>
        <w:ind w:left="360"/>
        <w:rPr>
          <w:rFonts w:ascii="Times New Roman" w:hAnsi="Times New Roman" w:cs="Times New Roman"/>
          <w:b/>
          <w:sz w:val="24"/>
          <w:szCs w:val="24"/>
        </w:rPr>
      </w:pPr>
    </w:p>
    <w:p w14:paraId="7760A299" w14:textId="77777777" w:rsidR="00E869C5" w:rsidRPr="00746E3F" w:rsidRDefault="00E869C5" w:rsidP="00E869C5">
      <w:pPr>
        <w:pStyle w:val="ListParagraph"/>
        <w:numPr>
          <w:ilvl w:val="1"/>
          <w:numId w:val="4"/>
        </w:numPr>
        <w:spacing w:after="0" w:line="240" w:lineRule="auto"/>
        <w:rPr>
          <w:rFonts w:ascii="Times New Roman" w:hAnsi="Times New Roman"/>
          <w:sz w:val="24"/>
          <w:szCs w:val="24"/>
          <w:lang w:val="lv-LV"/>
        </w:rPr>
      </w:pPr>
    </w:p>
    <w:p w14:paraId="514AB5A7" w14:textId="77777777" w:rsidR="00435892" w:rsidRPr="00746E3F" w:rsidRDefault="00435892" w:rsidP="00435892">
      <w:pPr>
        <w:pStyle w:val="ListParagraph"/>
        <w:spacing w:after="0" w:line="240" w:lineRule="auto"/>
        <w:ind w:left="360"/>
        <w:rPr>
          <w:rFonts w:ascii="Times New Roman" w:hAnsi="Times New Roman"/>
          <w:b/>
          <w:color w:val="FF0000"/>
          <w:sz w:val="24"/>
          <w:szCs w:val="24"/>
          <w:lang w:val="lv-LV"/>
        </w:rPr>
      </w:pPr>
    </w:p>
    <w:p w14:paraId="3A279B10" w14:textId="77777777" w:rsidR="00435892" w:rsidRPr="00746E3F" w:rsidRDefault="00435892" w:rsidP="00435892">
      <w:pPr>
        <w:pStyle w:val="ListParagraph"/>
        <w:spacing w:after="0" w:line="240" w:lineRule="auto"/>
        <w:ind w:left="792"/>
        <w:rPr>
          <w:rFonts w:ascii="Times New Roman" w:hAnsi="Times New Roman"/>
          <w:sz w:val="24"/>
          <w:szCs w:val="24"/>
          <w:lang w:val="lv-LV"/>
        </w:rPr>
      </w:pPr>
    </w:p>
    <w:p w14:paraId="1C749506" w14:textId="77777777" w:rsidR="001A4FCD" w:rsidRPr="007F64A0" w:rsidRDefault="001A4FCD" w:rsidP="004A20AE">
      <w:pPr>
        <w:pStyle w:val="ListParagraph"/>
        <w:numPr>
          <w:ilvl w:val="0"/>
          <w:numId w:val="4"/>
        </w:numPr>
        <w:spacing w:after="0" w:line="240" w:lineRule="auto"/>
        <w:rPr>
          <w:rFonts w:ascii="Times New Roman" w:hAnsi="Times New Roman"/>
          <w:b/>
          <w:color w:val="000000" w:themeColor="text1"/>
          <w:sz w:val="24"/>
          <w:szCs w:val="24"/>
          <w:lang w:val="lv-LV"/>
        </w:rPr>
      </w:pPr>
      <w:r w:rsidRPr="007F64A0">
        <w:rPr>
          <w:rFonts w:ascii="Times New Roman" w:hAnsi="Times New Roman"/>
          <w:b/>
          <w:color w:val="000000" w:themeColor="text1"/>
          <w:sz w:val="24"/>
          <w:szCs w:val="24"/>
          <w:lang w:val="lv-LV"/>
        </w:rPr>
        <w:t>Sistēmas drošības principi</w:t>
      </w:r>
    </w:p>
    <w:tbl>
      <w:tblPr>
        <w:tblW w:w="0" w:type="auto"/>
        <w:tblBorders>
          <w:top w:val="single" w:sz="4" w:space="0" w:color="auto"/>
          <w:left w:val="single" w:sz="4" w:space="0" w:color="auto"/>
          <w:bottom w:val="single" w:sz="4" w:space="0" w:color="auto"/>
          <w:right w:val="single" w:sz="4" w:space="0" w:color="auto"/>
        </w:tblBorders>
        <w:shd w:val="clear" w:color="auto" w:fill="FFC000"/>
        <w:tblLook w:val="0000" w:firstRow="0" w:lastRow="0" w:firstColumn="0" w:lastColumn="0" w:noHBand="0" w:noVBand="0"/>
      </w:tblPr>
      <w:tblGrid>
        <w:gridCol w:w="9350"/>
      </w:tblGrid>
      <w:tr w:rsidR="00C84B14" w:rsidRPr="00746E3F" w14:paraId="09A401B4" w14:textId="77777777" w:rsidTr="00A52EA5">
        <w:tc>
          <w:tcPr>
            <w:tcW w:w="9576" w:type="dxa"/>
            <w:shd w:val="clear" w:color="auto" w:fill="FFC000"/>
          </w:tcPr>
          <w:p w14:paraId="3F85C359" w14:textId="77777777" w:rsidR="00C84B14" w:rsidRPr="00746E3F" w:rsidRDefault="00A52EA5" w:rsidP="007F425E">
            <w:pPr>
              <w:pStyle w:val="Heading"/>
              <w:rPr>
                <w:rFonts w:ascii="Times New Roman" w:hAnsi="Times New Roman" w:cs="Times New Roman"/>
                <w:sz w:val="24"/>
                <w:szCs w:val="24"/>
              </w:rPr>
            </w:pPr>
            <w:r w:rsidRPr="00746E3F">
              <w:rPr>
                <w:rFonts w:ascii="Times New Roman" w:hAnsi="Times New Roman" w:cs="Times New Roman"/>
                <w:sz w:val="24"/>
                <w:szCs w:val="24"/>
              </w:rPr>
              <w:t xml:space="preserve">Šajā nodaļā aprakstītas MK noteikumos iekļautās prasības, kā arī </w:t>
            </w:r>
            <w:r w:rsidR="005D690A" w:rsidRPr="00746E3F">
              <w:rPr>
                <w:rFonts w:ascii="Times New Roman" w:hAnsi="Times New Roman" w:cs="Times New Roman"/>
                <w:sz w:val="24"/>
                <w:szCs w:val="24"/>
              </w:rPr>
              <w:t xml:space="preserve">nodaļu </w:t>
            </w:r>
            <w:r w:rsidRPr="00746E3F">
              <w:rPr>
                <w:rFonts w:ascii="Times New Roman" w:hAnsi="Times New Roman" w:cs="Times New Roman"/>
                <w:sz w:val="24"/>
                <w:szCs w:val="24"/>
              </w:rPr>
              <w:t>var papildināt ar Sistēmai vai Iestādei specifiskiem drošības principiem</w:t>
            </w:r>
            <w:r w:rsidR="005D690A" w:rsidRPr="00746E3F">
              <w:rPr>
                <w:rFonts w:ascii="Times New Roman" w:hAnsi="Times New Roman" w:cs="Times New Roman"/>
                <w:sz w:val="24"/>
                <w:szCs w:val="24"/>
              </w:rPr>
              <w:t>.</w:t>
            </w:r>
          </w:p>
        </w:tc>
      </w:tr>
    </w:tbl>
    <w:p w14:paraId="73E21E18" w14:textId="77777777" w:rsidR="00435892" w:rsidRPr="00746E3F" w:rsidRDefault="00435892" w:rsidP="00435892">
      <w:pPr>
        <w:pStyle w:val="ListParagraph"/>
        <w:spacing w:after="0" w:line="240" w:lineRule="auto"/>
        <w:ind w:left="360"/>
        <w:rPr>
          <w:rFonts w:ascii="Times New Roman" w:hAnsi="Times New Roman"/>
          <w:b/>
          <w:color w:val="FF0000"/>
          <w:sz w:val="24"/>
          <w:szCs w:val="24"/>
          <w:lang w:val="lv-LV"/>
        </w:rPr>
      </w:pPr>
    </w:p>
    <w:p w14:paraId="44A97867" w14:textId="77777777" w:rsidR="00B03BA5" w:rsidRPr="00B617C4" w:rsidRDefault="00DE08AB" w:rsidP="00435892">
      <w:pPr>
        <w:pStyle w:val="ListParagraph"/>
        <w:numPr>
          <w:ilvl w:val="1"/>
          <w:numId w:val="4"/>
        </w:numPr>
        <w:spacing w:after="0" w:line="240" w:lineRule="auto"/>
        <w:rPr>
          <w:rFonts w:ascii="Times New Roman" w:hAnsi="Times New Roman"/>
          <w:sz w:val="24"/>
          <w:szCs w:val="24"/>
          <w:lang w:val="lv-LV"/>
        </w:rPr>
      </w:pPr>
      <w:r w:rsidRPr="00746E3F">
        <w:rPr>
          <w:rFonts w:ascii="Times New Roman" w:hAnsi="Times New Roman"/>
          <w:sz w:val="24"/>
          <w:szCs w:val="24"/>
          <w:lang w:val="lv-LV"/>
        </w:rPr>
        <w:t>Sistēmas lietotāju konti</w:t>
      </w:r>
      <w:r w:rsidR="00B617C4">
        <w:rPr>
          <w:rFonts w:ascii="Times New Roman" w:hAnsi="Times New Roman"/>
          <w:sz w:val="24"/>
          <w:szCs w:val="24"/>
          <w:lang w:val="lv-LV"/>
        </w:rPr>
        <w:t>.</w:t>
      </w:r>
    </w:p>
    <w:p w14:paraId="347CE0A9" w14:textId="77777777" w:rsidR="00B03BA5" w:rsidRPr="007F64A0" w:rsidRDefault="00B03BA5" w:rsidP="00435892">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sistēmas lietotāji, kas veic sistēmas administrēšanas darbu, izmanto tam īpašus lietotāju kontus (turpmāk – sistēmas administratora konti), kas netiek izmantoti ikdienas darbību veikšanai;</w:t>
      </w:r>
    </w:p>
    <w:p w14:paraId="35C373AF" w14:textId="77777777" w:rsidR="00DB394B" w:rsidRPr="007F64A0" w:rsidRDefault="00B03BA5" w:rsidP="00DB394B">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katrs lietotāja konts ir saistīts ar konkrētu fizisko personu</w:t>
      </w:r>
      <w:r w:rsidR="00B617C4" w:rsidRPr="007F64A0">
        <w:rPr>
          <w:rFonts w:ascii="Times New Roman" w:hAnsi="Times New Roman"/>
          <w:color w:val="000000" w:themeColor="text1"/>
          <w:sz w:val="24"/>
          <w:szCs w:val="24"/>
          <w:lang w:val="lv-LV"/>
        </w:rPr>
        <w:t>.</w:t>
      </w:r>
      <w:r w:rsidRPr="007F64A0">
        <w:rPr>
          <w:rFonts w:ascii="Times New Roman" w:hAnsi="Times New Roman"/>
          <w:color w:val="000000" w:themeColor="text1"/>
          <w:sz w:val="24"/>
          <w:szCs w:val="24"/>
          <w:lang w:val="lv-LV"/>
        </w:rPr>
        <w:t xml:space="preserve"> </w:t>
      </w:r>
      <w:r w:rsidR="00B617C4" w:rsidRPr="007F64A0">
        <w:rPr>
          <w:rFonts w:ascii="Times New Roman" w:hAnsi="Times New Roman"/>
          <w:color w:val="000000" w:themeColor="text1"/>
          <w:sz w:val="24"/>
          <w:szCs w:val="24"/>
          <w:lang w:val="lv-LV"/>
        </w:rPr>
        <w:t>J</w:t>
      </w:r>
      <w:r w:rsidRPr="007F64A0">
        <w:rPr>
          <w:rFonts w:ascii="Times New Roman" w:hAnsi="Times New Roman"/>
          <w:color w:val="000000" w:themeColor="text1"/>
          <w:sz w:val="24"/>
          <w:szCs w:val="24"/>
          <w:lang w:val="lv-LV"/>
        </w:rPr>
        <w:t>a sistēmā tiek izmantoti konti, kas nav piesaistāmi konkrētai fiziskai personai (turpmāk – sistēmkonti), tad sistēmā jābūt iestrādātiem tehniskiem līdzekļiem, kas novērš iespēju lietotājiem izmantot sistēmkontus;</w:t>
      </w:r>
      <w:r w:rsidR="00DB394B" w:rsidRPr="007F64A0">
        <w:rPr>
          <w:color w:val="000000" w:themeColor="text1"/>
          <w:lang w:val="lv-LV"/>
        </w:rPr>
        <w:t xml:space="preserve"> </w:t>
      </w:r>
    </w:p>
    <w:p w14:paraId="2639D492" w14:textId="77777777" w:rsidR="00B03BA5" w:rsidRPr="007F64A0" w:rsidRDefault="00DB394B" w:rsidP="00DB394B">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ar sistēmas administratora kontu piekļūt sistēmai, izmantojot iekārtas, kas atrodas ārpus iestādes telpām, iespējams tikai izmantojot daudzfaktoru autentifikāciju;</w:t>
      </w:r>
    </w:p>
    <w:p w14:paraId="139CB045" w14:textId="77777777" w:rsidR="00DB394B" w:rsidRPr="007F64A0" w:rsidRDefault="00DB394B" w:rsidP="00DB394B">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sistēmas lietotājiem redzamie kļūdu paziņojumi satur tikai minimāli nepieciešamo informāciju</w:t>
      </w:r>
      <w:r w:rsidR="00B617C4" w:rsidRPr="007F64A0">
        <w:rPr>
          <w:rFonts w:ascii="Times New Roman" w:hAnsi="Times New Roman"/>
          <w:color w:val="000000" w:themeColor="text1"/>
          <w:sz w:val="24"/>
          <w:szCs w:val="24"/>
          <w:lang w:val="lv-LV"/>
        </w:rPr>
        <w:t>.</w:t>
      </w:r>
    </w:p>
    <w:p w14:paraId="7D2308A0" w14:textId="77777777" w:rsidR="00DE08AB" w:rsidRPr="00B617C4" w:rsidRDefault="00DE08AB" w:rsidP="00435892">
      <w:pPr>
        <w:pStyle w:val="ListParagraph"/>
        <w:numPr>
          <w:ilvl w:val="1"/>
          <w:numId w:val="4"/>
        </w:numPr>
        <w:spacing w:after="0" w:line="240" w:lineRule="auto"/>
        <w:rPr>
          <w:rFonts w:ascii="Times New Roman" w:hAnsi="Times New Roman"/>
          <w:sz w:val="24"/>
          <w:szCs w:val="24"/>
          <w:lang w:val="lv-LV"/>
        </w:rPr>
      </w:pPr>
      <w:r w:rsidRPr="00B617C4">
        <w:rPr>
          <w:rFonts w:ascii="Times New Roman" w:hAnsi="Times New Roman"/>
          <w:sz w:val="24"/>
          <w:szCs w:val="24"/>
          <w:lang w:val="lv-LV"/>
        </w:rPr>
        <w:t>Prasības parolēm</w:t>
      </w:r>
      <w:r w:rsidR="00B617C4">
        <w:rPr>
          <w:rFonts w:ascii="Times New Roman" w:hAnsi="Times New Roman"/>
          <w:sz w:val="24"/>
          <w:szCs w:val="24"/>
          <w:lang w:val="lv-LV"/>
        </w:rPr>
        <w:t>.</w:t>
      </w:r>
    </w:p>
    <w:p w14:paraId="440EDFDB" w14:textId="77777777" w:rsidR="00B03BA5" w:rsidRPr="007F64A0" w:rsidRDefault="00B03BA5" w:rsidP="00BF06BD">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lastRenderedPageBreak/>
        <w:t>ja sistēmā netiek izmantota daudzfaktoru autentifikācija, t.i. viens atribūts, kam nav statiska daba (piemēram, kodu kalkulators, vienreiz lietojams īsziņas kods), un vismaz viens cits atribūts, tad sistēmas lietotājiem ir obligāti jālieto paroles;</w:t>
      </w:r>
    </w:p>
    <w:p w14:paraId="09AEA69C" w14:textId="77777777" w:rsidR="00B03BA5" w:rsidRPr="007F64A0" w:rsidRDefault="00B03BA5" w:rsidP="00BF06BD">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sistēmas lietotāja paroļu garums nav mazāks par deviņiem simboliem un satur vismaz lielo latīņu alfabēta burtu, mazo latīņu alfabēta burtu, ciparu un citu simbolu;</w:t>
      </w:r>
    </w:p>
    <w:p w14:paraId="0C3A5E2E" w14:textId="77777777" w:rsidR="00DB394B" w:rsidRPr="007F64A0" w:rsidRDefault="00DB394B" w:rsidP="00DB394B">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katram sistēmas lietotājam parole ir obligāti jāmaina pēc ne vairāk kā 90 dienām;</w:t>
      </w:r>
    </w:p>
    <w:p w14:paraId="363BC455" w14:textId="77777777" w:rsidR="00DB394B" w:rsidRPr="007F64A0" w:rsidRDefault="00DB394B" w:rsidP="00DB394B">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piecas secīgas reizes nepareizi ievadot sistēmas lietotāja konta paroli, šis konts (izņemot sistēmas administratora kontu) nekavējoties tiek bloķēts;</w:t>
      </w:r>
    </w:p>
    <w:p w14:paraId="2DE7BE82" w14:textId="77777777" w:rsidR="00B03BA5" w:rsidRPr="007F64A0" w:rsidRDefault="00B03BA5" w:rsidP="00DB394B">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sistēmas lietotāja paroles aizliegts glabāt un transportēt nešifrētā veidā, t.sk. lietotāja autentifikācijas procesa ietvaros;</w:t>
      </w:r>
    </w:p>
    <w:p w14:paraId="2E843B99" w14:textId="77777777" w:rsidR="00B03BA5" w:rsidRPr="007F64A0" w:rsidRDefault="00B03BA5" w:rsidP="00BF06BD">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 xml:space="preserve"> sistēmas lietotāja parole netiek pilnībā attēlota lietotājam;</w:t>
      </w:r>
    </w:p>
    <w:p w14:paraId="21EF232B" w14:textId="77777777" w:rsidR="00B03BA5" w:rsidRPr="007F64A0" w:rsidRDefault="00B03BA5" w:rsidP="00BF06BD">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sistēmas lietotāja parole, kas nosūtīta publiskā datu pārraides tīklā nešifrētā veidā, ir vienreiz lietojama;</w:t>
      </w:r>
    </w:p>
    <w:p w14:paraId="6E24E024" w14:textId="77777777" w:rsidR="00B03BA5" w:rsidRPr="007F64A0" w:rsidRDefault="00B03BA5" w:rsidP="00BF06BD">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 xml:space="preserve"> sistēmā nav pieļaujama funkcionalitāte, kas atļauj sistēmas lietotājam saglabāt savu paroli tā, lai tā turpmākajās pieslēgšanas reizēs nav jāievada;</w:t>
      </w:r>
    </w:p>
    <w:p w14:paraId="17B7B5C6" w14:textId="77777777" w:rsidR="00B03BA5" w:rsidRPr="007F64A0" w:rsidRDefault="00B03BA5" w:rsidP="00BF06BD">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iekārtām, t.sk. infrastruktūras iekārtām, kas nodrošina sistēmas funkcionēšanu, netiek izmantotas noklusējuma (ražotāja vai izplatītāja uzstādītās) paroles;</w:t>
      </w:r>
    </w:p>
    <w:p w14:paraId="7DC52798" w14:textId="77777777" w:rsidR="00DE08AB" w:rsidRPr="007F64A0" w:rsidRDefault="00DE08AB" w:rsidP="00435892">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Izsekojamība</w:t>
      </w:r>
      <w:r w:rsidR="006917AA" w:rsidRPr="007F64A0">
        <w:rPr>
          <w:rFonts w:ascii="Times New Roman" w:hAnsi="Times New Roman"/>
          <w:color w:val="000000" w:themeColor="text1"/>
          <w:sz w:val="24"/>
          <w:szCs w:val="24"/>
          <w:lang w:val="lv-LV"/>
        </w:rPr>
        <w:t>.</w:t>
      </w:r>
    </w:p>
    <w:p w14:paraId="0F8CFB0B" w14:textId="77777777" w:rsidR="00B03BA5" w:rsidRPr="007F64A0" w:rsidRDefault="00DB394B" w:rsidP="00DB394B">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tiek nodrošināta sistēmas pierakstu veidošana un uzglabāšana vismaz 18 mēnešus pēc ieraksta izdarīšanas, uzglabājot pierakstus vai to kopijas atsevišķi no sistēmas;</w:t>
      </w:r>
    </w:p>
    <w:p w14:paraId="2E877C2F" w14:textId="77777777" w:rsidR="00DB394B" w:rsidRPr="007F64A0" w:rsidRDefault="00DB394B" w:rsidP="00DB394B">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sistēmas pieraksti tiek veidoti, nodrošinot, ka ierakstā norādītais laiks sakrīt ar faktiskā notikuma koordinēto universālo laiku (UTC) ar vienas sekundes precizitāti;</w:t>
      </w:r>
    </w:p>
    <w:p w14:paraId="1EB3F0D7" w14:textId="77777777" w:rsidR="00DB394B" w:rsidRPr="007F64A0" w:rsidRDefault="00DB394B" w:rsidP="00DB394B">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tiek nodrošināta sistēmas auditēšanas ierakstu satura plānveida uzraudzība un analīze, lai konstatētu incidentus;</w:t>
      </w:r>
    </w:p>
    <w:p w14:paraId="782B32CE" w14:textId="77777777" w:rsidR="00B03BA5" w:rsidRPr="007F64A0" w:rsidRDefault="00B03BA5" w:rsidP="00435892">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jebkura piekļuve sistēmai ir izsekojama līdz konkrētam sistēmas lietotāja kontam vai interneta protokola (IP) adresei</w:t>
      </w:r>
      <w:r w:rsidR="006917AA" w:rsidRPr="007F64A0">
        <w:rPr>
          <w:rFonts w:ascii="Times New Roman" w:hAnsi="Times New Roman"/>
          <w:color w:val="000000" w:themeColor="text1"/>
          <w:sz w:val="24"/>
          <w:szCs w:val="24"/>
          <w:lang w:val="lv-LV"/>
        </w:rPr>
        <w:t>.</w:t>
      </w:r>
    </w:p>
    <w:p w14:paraId="2C490CB6" w14:textId="77777777" w:rsidR="00DE08AB" w:rsidRPr="007F64A0" w:rsidRDefault="00DE08AB" w:rsidP="00435892">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Atjauninājumi</w:t>
      </w:r>
      <w:r w:rsidR="006917AA" w:rsidRPr="007F64A0">
        <w:rPr>
          <w:rFonts w:ascii="Times New Roman" w:hAnsi="Times New Roman"/>
          <w:color w:val="000000" w:themeColor="text1"/>
          <w:sz w:val="24"/>
          <w:szCs w:val="24"/>
          <w:lang w:val="lv-LV"/>
        </w:rPr>
        <w:t>.</w:t>
      </w:r>
    </w:p>
    <w:p w14:paraId="09796FF9" w14:textId="77777777" w:rsidR="00B03BA5" w:rsidRPr="007F64A0" w:rsidRDefault="00BC6F88" w:rsidP="00435892">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S</w:t>
      </w:r>
      <w:r w:rsidR="00B03BA5" w:rsidRPr="007F64A0">
        <w:rPr>
          <w:rFonts w:ascii="Times New Roman" w:hAnsi="Times New Roman"/>
          <w:color w:val="000000" w:themeColor="text1"/>
          <w:sz w:val="24"/>
          <w:szCs w:val="24"/>
          <w:lang w:val="lv-LV"/>
        </w:rPr>
        <w:t>istēmai jābūt uzliktiem visiem pieejamajiem nepieciešamajiem</w:t>
      </w:r>
      <w:r w:rsidR="00435892" w:rsidRPr="007F64A0">
        <w:rPr>
          <w:rFonts w:ascii="Times New Roman" w:hAnsi="Times New Roman"/>
          <w:color w:val="000000" w:themeColor="text1"/>
          <w:sz w:val="24"/>
          <w:szCs w:val="24"/>
          <w:lang w:val="lv-LV"/>
        </w:rPr>
        <w:t xml:space="preserve"> programmatūras atjauninājumiem.</w:t>
      </w:r>
    </w:p>
    <w:p w14:paraId="12C94C5F" w14:textId="77777777" w:rsidR="00435892" w:rsidRPr="007F64A0" w:rsidRDefault="00435892" w:rsidP="00435892">
      <w:pPr>
        <w:pStyle w:val="ListParagraph"/>
        <w:spacing w:after="0" w:line="240" w:lineRule="auto"/>
        <w:ind w:left="1224"/>
        <w:rPr>
          <w:rFonts w:ascii="Times New Roman" w:hAnsi="Times New Roman"/>
          <w:color w:val="000000" w:themeColor="text1"/>
          <w:sz w:val="24"/>
          <w:szCs w:val="24"/>
          <w:lang w:val="lv-LV"/>
        </w:rPr>
      </w:pPr>
    </w:p>
    <w:p w14:paraId="4F8392BB" w14:textId="77777777" w:rsidR="00DE08AB" w:rsidRPr="007F64A0" w:rsidRDefault="00DE08AB" w:rsidP="004A20AE">
      <w:pPr>
        <w:pStyle w:val="ListParagraph"/>
        <w:numPr>
          <w:ilvl w:val="0"/>
          <w:numId w:val="4"/>
        </w:numPr>
        <w:spacing w:after="0" w:line="240" w:lineRule="auto"/>
        <w:rPr>
          <w:rFonts w:ascii="Times New Roman" w:hAnsi="Times New Roman"/>
          <w:b/>
          <w:color w:val="000000" w:themeColor="text1"/>
          <w:sz w:val="24"/>
          <w:szCs w:val="24"/>
          <w:lang w:val="lv-LV"/>
        </w:rPr>
      </w:pPr>
      <w:r w:rsidRPr="007F64A0">
        <w:rPr>
          <w:rFonts w:ascii="Times New Roman" w:hAnsi="Times New Roman"/>
          <w:b/>
          <w:color w:val="000000" w:themeColor="text1"/>
          <w:sz w:val="24"/>
          <w:szCs w:val="24"/>
          <w:lang w:val="lv-LV"/>
        </w:rPr>
        <w:t>Sistēmas aizsardzības pasākumi</w:t>
      </w:r>
    </w:p>
    <w:tbl>
      <w:tblPr>
        <w:tblW w:w="0" w:type="auto"/>
        <w:tblBorders>
          <w:top w:val="single" w:sz="4" w:space="0" w:color="auto"/>
          <w:left w:val="single" w:sz="4" w:space="0" w:color="auto"/>
          <w:bottom w:val="single" w:sz="4" w:space="0" w:color="auto"/>
          <w:right w:val="single" w:sz="4" w:space="0" w:color="auto"/>
        </w:tblBorders>
        <w:shd w:val="clear" w:color="auto" w:fill="FFC000"/>
        <w:tblLook w:val="0000" w:firstRow="0" w:lastRow="0" w:firstColumn="0" w:lastColumn="0" w:noHBand="0" w:noVBand="0"/>
      </w:tblPr>
      <w:tblGrid>
        <w:gridCol w:w="9350"/>
      </w:tblGrid>
      <w:tr w:rsidR="007F64A0" w:rsidRPr="007F64A0" w14:paraId="09FB79AF" w14:textId="77777777" w:rsidTr="00A52EA5">
        <w:tc>
          <w:tcPr>
            <w:tcW w:w="9576" w:type="dxa"/>
            <w:shd w:val="clear" w:color="auto" w:fill="FFC000"/>
          </w:tcPr>
          <w:p w14:paraId="05A0EEF2" w14:textId="77777777" w:rsidR="00C84B14" w:rsidRPr="007F64A0" w:rsidRDefault="00A52EA5" w:rsidP="00A52EA5">
            <w:pPr>
              <w:pStyle w:val="Heading"/>
              <w:rPr>
                <w:rFonts w:ascii="Times New Roman" w:hAnsi="Times New Roman" w:cs="Times New Roman"/>
                <w:b/>
                <w:color w:val="000000" w:themeColor="text1"/>
                <w:sz w:val="24"/>
                <w:szCs w:val="24"/>
              </w:rPr>
            </w:pPr>
            <w:r w:rsidRPr="007F64A0">
              <w:rPr>
                <w:rFonts w:ascii="Times New Roman" w:hAnsi="Times New Roman" w:cs="Times New Roman"/>
                <w:color w:val="000000" w:themeColor="text1"/>
                <w:sz w:val="24"/>
                <w:szCs w:val="24"/>
              </w:rPr>
              <w:t xml:space="preserve">Šajā nodaļā aprakstītas MK noteikumos iekļautās prasības, kā arī </w:t>
            </w:r>
            <w:r w:rsidR="00BB4E97" w:rsidRPr="007F64A0">
              <w:rPr>
                <w:rFonts w:ascii="Times New Roman" w:hAnsi="Times New Roman" w:cs="Times New Roman"/>
                <w:color w:val="000000" w:themeColor="text1"/>
                <w:sz w:val="24"/>
                <w:szCs w:val="24"/>
              </w:rPr>
              <w:t xml:space="preserve">to </w:t>
            </w:r>
            <w:r w:rsidRPr="007F64A0">
              <w:rPr>
                <w:rFonts w:ascii="Times New Roman" w:hAnsi="Times New Roman" w:cs="Times New Roman"/>
                <w:color w:val="000000" w:themeColor="text1"/>
                <w:sz w:val="24"/>
                <w:szCs w:val="24"/>
              </w:rPr>
              <w:t>var papildināt ar Sistēmai vai Iestādei specifiskiem aizsardzības pasākumiem</w:t>
            </w:r>
            <w:r w:rsidR="001E7377" w:rsidRPr="007F64A0">
              <w:rPr>
                <w:rFonts w:ascii="Times New Roman" w:hAnsi="Times New Roman" w:cs="Times New Roman"/>
                <w:color w:val="000000" w:themeColor="text1"/>
                <w:sz w:val="24"/>
                <w:szCs w:val="24"/>
              </w:rPr>
              <w:t>.</w:t>
            </w:r>
          </w:p>
        </w:tc>
      </w:tr>
    </w:tbl>
    <w:p w14:paraId="0F77D1CB" w14:textId="77777777" w:rsidR="00435892" w:rsidRPr="007F64A0" w:rsidRDefault="00435892" w:rsidP="00435892">
      <w:pPr>
        <w:pStyle w:val="ListParagraph"/>
        <w:spacing w:after="0" w:line="240" w:lineRule="auto"/>
        <w:ind w:left="360"/>
        <w:rPr>
          <w:rFonts w:ascii="Times New Roman" w:hAnsi="Times New Roman"/>
          <w:b/>
          <w:color w:val="000000" w:themeColor="text1"/>
          <w:sz w:val="24"/>
          <w:szCs w:val="24"/>
          <w:lang w:val="lv-LV"/>
        </w:rPr>
      </w:pPr>
    </w:p>
    <w:p w14:paraId="02B81A76" w14:textId="77777777" w:rsidR="00B03BA5" w:rsidRPr="007F64A0" w:rsidRDefault="00B03BA5" w:rsidP="00435892">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visās institūcijas valdījumā esošajās gala lietotāju iekārtās, kas ikdienā tiek izmantotas, lai pieslēgtos sistēmai, jābūt iekļautai pretvīrusu funkcionalitātei;</w:t>
      </w:r>
    </w:p>
    <w:p w14:paraId="6BDBDFCE" w14:textId="77777777" w:rsidR="00DB394B" w:rsidRPr="007F64A0" w:rsidRDefault="00B03BA5" w:rsidP="00435892">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 xml:space="preserve">sistēmas funkcionalitāte ir izpildāma ar </w:t>
      </w:r>
      <w:r w:rsidR="00435892" w:rsidRPr="007F64A0">
        <w:rPr>
          <w:rFonts w:ascii="Times New Roman" w:hAnsi="Times New Roman"/>
          <w:color w:val="000000" w:themeColor="text1"/>
          <w:sz w:val="24"/>
          <w:szCs w:val="24"/>
          <w:lang w:val="lv-LV"/>
        </w:rPr>
        <w:t>minimāli iespējamo tiesību kopu</w:t>
      </w:r>
      <w:r w:rsidR="00BB4E97" w:rsidRPr="007F64A0">
        <w:rPr>
          <w:rFonts w:ascii="Times New Roman" w:hAnsi="Times New Roman"/>
          <w:color w:val="000000" w:themeColor="text1"/>
          <w:sz w:val="24"/>
          <w:szCs w:val="24"/>
          <w:lang w:val="lv-LV"/>
        </w:rPr>
        <w:t>;</w:t>
      </w:r>
    </w:p>
    <w:p w14:paraId="6D25D1DB" w14:textId="77777777" w:rsidR="00435892" w:rsidRPr="007F64A0" w:rsidRDefault="00DB394B" w:rsidP="00435892">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fiziski piekļūt iekārtām, kas nodrošina sistēmas darbību, atļauts vienīgi iestādes pilnvarotām personām;</w:t>
      </w:r>
    </w:p>
    <w:p w14:paraId="5EF09E3E" w14:textId="77777777" w:rsidR="00DB394B" w:rsidRPr="007F64A0" w:rsidRDefault="00DB394B" w:rsidP="00DB394B">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plūsma starp informācijas sistēmu un tās lietotājiem, kā arī starp informācijas sistēmu un citām informācijas sistēmām tiek kontrolēta, piemēram, izmantojot ugunsmūri;</w:t>
      </w:r>
    </w:p>
    <w:p w14:paraId="4FF388B7" w14:textId="77777777" w:rsidR="00DB394B" w:rsidRPr="007F64A0" w:rsidRDefault="00DB394B" w:rsidP="00DB394B">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datortīkla pakalpojumi (network services), kas netiek izmantoti sistēmas darbības nodrošināšanai, ir atslēgti;</w:t>
      </w:r>
    </w:p>
    <w:p w14:paraId="4CD0A64D" w14:textId="77777777" w:rsidR="00DB394B" w:rsidRPr="007F64A0" w:rsidRDefault="00DB394B" w:rsidP="00DB394B">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veicot sistēmas izstrādi un testēšanu, nav pieļaujams radīt apdraudējumu sistēmās glabāto datu integritātei;</w:t>
      </w:r>
    </w:p>
    <w:p w14:paraId="7B88BF4C" w14:textId="77777777" w:rsidR="00DB394B" w:rsidRPr="007F64A0" w:rsidRDefault="00DB394B" w:rsidP="00DB394B">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lastRenderedPageBreak/>
        <w:t>sistēmas izvietošana ārpakalpojumu sniedzēja nodrošinātos resursos atļauta tikai tad, ja pakalpojumu sniedzējs ir juridiska persona, kas reģistrēta Eiropas Savienības vai Eiropas Ekonomikas zonas dalībvalstī, un sistēmā glabātā informācija atrodas vienīgi Eiropas Savienības vai Eiropas Ekonomikas zonas valstu teritorijā.</w:t>
      </w:r>
    </w:p>
    <w:p w14:paraId="481FB2F5" w14:textId="77777777" w:rsidR="00DB394B" w:rsidRPr="007F64A0" w:rsidRDefault="00DB394B" w:rsidP="00DB394B">
      <w:pPr>
        <w:pStyle w:val="ListParagraph"/>
        <w:spacing w:after="0" w:line="240" w:lineRule="auto"/>
        <w:ind w:left="792"/>
        <w:rPr>
          <w:rFonts w:ascii="Times New Roman" w:hAnsi="Times New Roman"/>
          <w:color w:val="000000" w:themeColor="text1"/>
          <w:sz w:val="24"/>
          <w:szCs w:val="24"/>
          <w:lang w:val="lv-LV"/>
        </w:rPr>
      </w:pPr>
    </w:p>
    <w:p w14:paraId="03212DA9" w14:textId="77777777" w:rsidR="001A4FCD" w:rsidRPr="007F64A0" w:rsidRDefault="001A4FCD" w:rsidP="004A20AE">
      <w:pPr>
        <w:pStyle w:val="ListParagraph"/>
        <w:numPr>
          <w:ilvl w:val="0"/>
          <w:numId w:val="4"/>
        </w:numPr>
        <w:spacing w:after="0" w:line="240" w:lineRule="auto"/>
        <w:rPr>
          <w:rFonts w:ascii="Times New Roman" w:hAnsi="Times New Roman"/>
          <w:b/>
          <w:color w:val="000000" w:themeColor="text1"/>
          <w:sz w:val="24"/>
          <w:szCs w:val="24"/>
          <w:lang w:val="lv-LV"/>
        </w:rPr>
      </w:pPr>
      <w:r w:rsidRPr="007F64A0">
        <w:rPr>
          <w:rFonts w:ascii="Times New Roman" w:hAnsi="Times New Roman"/>
          <w:b/>
          <w:color w:val="000000" w:themeColor="text1"/>
          <w:sz w:val="24"/>
          <w:szCs w:val="24"/>
          <w:lang w:val="lv-LV"/>
        </w:rPr>
        <w:t xml:space="preserve">Sistēmas drošības risku (pieejamības, integritātes un konfidencialitātes risku) pieņemamais līmenis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7F64A0" w:rsidRPr="007F64A0" w14:paraId="221C6BB7" w14:textId="77777777" w:rsidTr="00A52EA5">
        <w:tc>
          <w:tcPr>
            <w:tcW w:w="9576" w:type="dxa"/>
            <w:shd w:val="clear" w:color="auto" w:fill="FFC000"/>
          </w:tcPr>
          <w:p w14:paraId="2AE158E7" w14:textId="77777777" w:rsidR="00C84B14" w:rsidRPr="007F64A0" w:rsidRDefault="00A52EA5" w:rsidP="00BB4E97">
            <w:pPr>
              <w:pStyle w:val="Heading"/>
              <w:rPr>
                <w:rFonts w:ascii="Times New Roman" w:hAnsi="Times New Roman" w:cs="Times New Roman"/>
                <w:color w:val="000000" w:themeColor="text1"/>
                <w:sz w:val="24"/>
                <w:szCs w:val="24"/>
              </w:rPr>
            </w:pPr>
            <w:r w:rsidRPr="007F64A0">
              <w:rPr>
                <w:rFonts w:ascii="Times New Roman" w:hAnsi="Times New Roman" w:cs="Times New Roman"/>
                <w:color w:val="000000" w:themeColor="text1"/>
                <w:sz w:val="24"/>
                <w:szCs w:val="24"/>
              </w:rPr>
              <w:t>Risku pārvaldība jāapraksta atbilstoši Noteikumu 7. punktā aprakstītajai metodikai. Ja ir noteikts konkrēts risku pieņemamais līmenis, t</w:t>
            </w:r>
            <w:r w:rsidR="00BB4E97" w:rsidRPr="007F64A0">
              <w:rPr>
                <w:rFonts w:ascii="Times New Roman" w:hAnsi="Times New Roman" w:cs="Times New Roman"/>
                <w:color w:val="000000" w:themeColor="text1"/>
                <w:sz w:val="24"/>
                <w:szCs w:val="24"/>
              </w:rPr>
              <w:t>as</w:t>
            </w:r>
            <w:r w:rsidRPr="007F64A0">
              <w:rPr>
                <w:rFonts w:ascii="Times New Roman" w:hAnsi="Times New Roman" w:cs="Times New Roman"/>
                <w:color w:val="000000" w:themeColor="text1"/>
                <w:sz w:val="24"/>
                <w:szCs w:val="24"/>
              </w:rPr>
              <w:t xml:space="preserve"> jāapraksta šeit.</w:t>
            </w:r>
          </w:p>
        </w:tc>
      </w:tr>
    </w:tbl>
    <w:p w14:paraId="375D1523" w14:textId="77777777" w:rsidR="00435892" w:rsidRPr="007F64A0" w:rsidRDefault="00435892" w:rsidP="00435892">
      <w:pPr>
        <w:pStyle w:val="ListParagraph"/>
        <w:spacing w:after="0" w:line="240" w:lineRule="auto"/>
        <w:ind w:left="360"/>
        <w:rPr>
          <w:rFonts w:ascii="Times New Roman" w:hAnsi="Times New Roman"/>
          <w:b/>
          <w:color w:val="000000" w:themeColor="text1"/>
          <w:sz w:val="24"/>
          <w:szCs w:val="24"/>
          <w:lang w:val="lv-LV"/>
        </w:rPr>
      </w:pPr>
    </w:p>
    <w:p w14:paraId="0900A866" w14:textId="77777777" w:rsidR="00DE08AB" w:rsidRPr="007F64A0" w:rsidRDefault="00DE08AB" w:rsidP="00435892">
      <w:pPr>
        <w:pStyle w:val="ListParagraph"/>
        <w:numPr>
          <w:ilvl w:val="1"/>
          <w:numId w:val="4"/>
        </w:numPr>
        <w:spacing w:after="0" w:line="240" w:lineRule="auto"/>
        <w:rPr>
          <w:rFonts w:ascii="Times New Roman" w:hAnsi="Times New Roman"/>
          <w:color w:val="000000" w:themeColor="text1"/>
          <w:sz w:val="24"/>
          <w:szCs w:val="24"/>
          <w:lang w:val="lv-LV"/>
        </w:rPr>
      </w:pPr>
    </w:p>
    <w:p w14:paraId="79490BDF" w14:textId="77777777" w:rsidR="00435892" w:rsidRPr="007F64A0" w:rsidRDefault="00435892" w:rsidP="00435892">
      <w:pPr>
        <w:pStyle w:val="ListParagraph"/>
        <w:spacing w:after="0" w:line="240" w:lineRule="auto"/>
        <w:ind w:left="792"/>
        <w:rPr>
          <w:rFonts w:ascii="Times New Roman" w:hAnsi="Times New Roman"/>
          <w:color w:val="000000" w:themeColor="text1"/>
          <w:sz w:val="24"/>
          <w:szCs w:val="24"/>
          <w:lang w:val="lv-LV"/>
        </w:rPr>
      </w:pPr>
    </w:p>
    <w:p w14:paraId="02595A69" w14:textId="77777777" w:rsidR="001A4FCD" w:rsidRPr="007F64A0" w:rsidRDefault="001A4FCD" w:rsidP="004A20AE">
      <w:pPr>
        <w:pStyle w:val="ListParagraph"/>
        <w:numPr>
          <w:ilvl w:val="0"/>
          <w:numId w:val="4"/>
        </w:numPr>
        <w:spacing w:after="0" w:line="240" w:lineRule="auto"/>
        <w:rPr>
          <w:rFonts w:ascii="Times New Roman" w:hAnsi="Times New Roman"/>
          <w:b/>
          <w:color w:val="000000" w:themeColor="text1"/>
          <w:sz w:val="24"/>
          <w:szCs w:val="24"/>
          <w:lang w:val="lv-LV"/>
        </w:rPr>
      </w:pPr>
      <w:r w:rsidRPr="007F64A0">
        <w:rPr>
          <w:rFonts w:ascii="Times New Roman" w:hAnsi="Times New Roman"/>
          <w:b/>
          <w:color w:val="000000" w:themeColor="text1"/>
          <w:sz w:val="24"/>
          <w:szCs w:val="24"/>
          <w:lang w:val="lv-LV"/>
        </w:rPr>
        <w:t>Sistēmas drošības kritēriji</w:t>
      </w:r>
    </w:p>
    <w:p w14:paraId="38EE0CF1" w14:textId="77777777" w:rsidR="00C84B14" w:rsidRPr="007F64A0" w:rsidRDefault="00C84B14" w:rsidP="00C84B14">
      <w:pPr>
        <w:pStyle w:val="Heading"/>
        <w:ind w:left="360"/>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FFC000"/>
        <w:tblLook w:val="0000" w:firstRow="0" w:lastRow="0" w:firstColumn="0" w:lastColumn="0" w:noHBand="0" w:noVBand="0"/>
      </w:tblPr>
      <w:tblGrid>
        <w:gridCol w:w="9350"/>
      </w:tblGrid>
      <w:tr w:rsidR="007F64A0" w:rsidRPr="007F64A0" w14:paraId="245642E5" w14:textId="77777777" w:rsidTr="00A52EA5">
        <w:tc>
          <w:tcPr>
            <w:tcW w:w="9576" w:type="dxa"/>
            <w:shd w:val="clear" w:color="auto" w:fill="FFC000"/>
          </w:tcPr>
          <w:p w14:paraId="1F734622" w14:textId="77777777" w:rsidR="00C84B14" w:rsidRPr="007F64A0" w:rsidRDefault="00BF06BD" w:rsidP="00A52EA5">
            <w:pPr>
              <w:pStyle w:val="Heading"/>
              <w:rPr>
                <w:rFonts w:ascii="Times New Roman" w:hAnsi="Times New Roman" w:cs="Times New Roman"/>
                <w:color w:val="000000" w:themeColor="text1"/>
                <w:sz w:val="24"/>
                <w:szCs w:val="24"/>
              </w:rPr>
            </w:pPr>
            <w:r w:rsidRPr="007F64A0">
              <w:rPr>
                <w:rFonts w:ascii="Times New Roman" w:hAnsi="Times New Roman" w:cs="Times New Roman"/>
                <w:color w:val="000000" w:themeColor="text1"/>
                <w:sz w:val="24"/>
                <w:szCs w:val="24"/>
              </w:rPr>
              <w:t xml:space="preserve"> Ministru kabineta noteikumi paredz, ka lietotājiem jāpadara pieejami vismaz zemāk uzskaitītie sistēmas drošības kritēriji.</w:t>
            </w:r>
          </w:p>
        </w:tc>
      </w:tr>
    </w:tbl>
    <w:p w14:paraId="1C511C0B" w14:textId="77777777" w:rsidR="00C84B14" w:rsidRPr="007F64A0" w:rsidRDefault="00C84B14" w:rsidP="00C84B14">
      <w:pPr>
        <w:pStyle w:val="Heading"/>
        <w:ind w:left="360"/>
        <w:rPr>
          <w:rFonts w:ascii="Times New Roman" w:hAnsi="Times New Roman" w:cs="Times New Roman"/>
          <w:b/>
          <w:color w:val="000000" w:themeColor="text1"/>
          <w:sz w:val="24"/>
          <w:szCs w:val="24"/>
        </w:rPr>
      </w:pPr>
    </w:p>
    <w:p w14:paraId="6EAD8518" w14:textId="77777777" w:rsidR="00435892" w:rsidRPr="007F64A0" w:rsidRDefault="00435892" w:rsidP="00435892">
      <w:pPr>
        <w:pStyle w:val="ListParagraph"/>
        <w:spacing w:after="0" w:line="240" w:lineRule="auto"/>
        <w:ind w:left="360"/>
        <w:rPr>
          <w:rFonts w:ascii="Times New Roman" w:hAnsi="Times New Roman"/>
          <w:b/>
          <w:color w:val="000000" w:themeColor="text1"/>
          <w:sz w:val="24"/>
          <w:szCs w:val="24"/>
          <w:lang w:val="lv-LV"/>
        </w:rPr>
      </w:pPr>
    </w:p>
    <w:p w14:paraId="11D7E547" w14:textId="77777777" w:rsidR="001A4FCD" w:rsidRPr="007F64A0" w:rsidRDefault="001A4FCD" w:rsidP="00E869C5">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Sistēmas nepārtrauktās darbības laiks</w:t>
      </w:r>
      <w:r w:rsidR="00E869C5" w:rsidRPr="007F64A0">
        <w:rPr>
          <w:rFonts w:ascii="Times New Roman" w:hAnsi="Times New Roman"/>
          <w:color w:val="000000" w:themeColor="text1"/>
          <w:sz w:val="24"/>
          <w:szCs w:val="24"/>
          <w:lang w:val="lv-LV"/>
        </w:rPr>
        <w:t>:</w:t>
      </w:r>
    </w:p>
    <w:p w14:paraId="22839C80" w14:textId="77777777" w:rsidR="001A4FCD" w:rsidRPr="007F64A0" w:rsidRDefault="001A4FCD" w:rsidP="00E869C5">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Sistēmas darbības atjaunošanas laiks</w:t>
      </w:r>
      <w:r w:rsidR="00E869C5" w:rsidRPr="007F64A0">
        <w:rPr>
          <w:rFonts w:ascii="Times New Roman" w:hAnsi="Times New Roman"/>
          <w:color w:val="000000" w:themeColor="text1"/>
          <w:sz w:val="24"/>
          <w:szCs w:val="24"/>
          <w:lang w:val="lv-LV"/>
        </w:rPr>
        <w:t>:</w:t>
      </w:r>
    </w:p>
    <w:p w14:paraId="2E17ADD2" w14:textId="77777777" w:rsidR="001A4FCD" w:rsidRPr="007F64A0" w:rsidRDefault="001A4FCD" w:rsidP="00E869C5">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Nosacījumi, pie kuriem ikdienas procedūras aizstājamas ar krīzes pārvaldības procedūrām</w:t>
      </w:r>
      <w:r w:rsidR="00911AAB" w:rsidRPr="007F64A0">
        <w:rPr>
          <w:rFonts w:ascii="Times New Roman" w:hAnsi="Times New Roman"/>
          <w:color w:val="000000" w:themeColor="text1"/>
          <w:sz w:val="24"/>
          <w:szCs w:val="24"/>
          <w:lang w:val="lv-LV"/>
        </w:rPr>
        <w:t xml:space="preserve">: </w:t>
      </w:r>
    </w:p>
    <w:p w14:paraId="5D742A87" w14:textId="77777777" w:rsidR="00911AAB" w:rsidRPr="007F64A0" w:rsidRDefault="00911AAB" w:rsidP="00E869C5">
      <w:pPr>
        <w:pStyle w:val="ListParagraph"/>
        <w:numPr>
          <w:ilvl w:val="2"/>
          <w:numId w:val="4"/>
        </w:numPr>
        <w:spacing w:after="0" w:line="240" w:lineRule="auto"/>
        <w:rPr>
          <w:rFonts w:ascii="Times New Roman" w:hAnsi="Times New Roman"/>
          <w:color w:val="000000" w:themeColor="text1"/>
          <w:sz w:val="24"/>
          <w:szCs w:val="24"/>
          <w:lang w:val="lv-LV"/>
        </w:rPr>
      </w:pPr>
    </w:p>
    <w:p w14:paraId="4C9063B2" w14:textId="77777777" w:rsidR="00435892" w:rsidRPr="007F64A0" w:rsidRDefault="00435892" w:rsidP="00435892">
      <w:pPr>
        <w:pStyle w:val="ListParagraph"/>
        <w:spacing w:after="0" w:line="240" w:lineRule="auto"/>
        <w:ind w:left="1224"/>
        <w:rPr>
          <w:rFonts w:ascii="Times New Roman" w:hAnsi="Times New Roman"/>
          <w:color w:val="000000" w:themeColor="text1"/>
          <w:sz w:val="24"/>
          <w:szCs w:val="24"/>
          <w:lang w:val="lv-LV"/>
        </w:rPr>
      </w:pPr>
    </w:p>
    <w:p w14:paraId="5A4D77A8" w14:textId="77777777" w:rsidR="001A4FCD" w:rsidRPr="007F64A0" w:rsidRDefault="001A4FCD" w:rsidP="004A20AE">
      <w:pPr>
        <w:pStyle w:val="ListParagraph"/>
        <w:numPr>
          <w:ilvl w:val="0"/>
          <w:numId w:val="4"/>
        </w:numPr>
        <w:spacing w:after="0" w:line="240" w:lineRule="auto"/>
        <w:rPr>
          <w:rFonts w:ascii="Times New Roman" w:hAnsi="Times New Roman"/>
          <w:b/>
          <w:color w:val="000000" w:themeColor="text1"/>
          <w:sz w:val="24"/>
          <w:szCs w:val="24"/>
          <w:lang w:val="lv-LV"/>
        </w:rPr>
      </w:pPr>
      <w:r w:rsidRPr="007F64A0">
        <w:rPr>
          <w:rFonts w:ascii="Times New Roman" w:hAnsi="Times New Roman"/>
          <w:b/>
          <w:color w:val="000000" w:themeColor="text1"/>
          <w:sz w:val="24"/>
          <w:szCs w:val="24"/>
          <w:lang w:val="lv-LV"/>
        </w:rPr>
        <w:t>Noslēguma jautājumi</w:t>
      </w:r>
    </w:p>
    <w:p w14:paraId="68F4599F" w14:textId="77777777" w:rsidR="00C84B14" w:rsidRPr="007F64A0" w:rsidRDefault="00C84B14" w:rsidP="00C84B14">
      <w:pPr>
        <w:pStyle w:val="Heading"/>
        <w:ind w:left="360"/>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FFC000"/>
        <w:tblLook w:val="0000" w:firstRow="0" w:lastRow="0" w:firstColumn="0" w:lastColumn="0" w:noHBand="0" w:noVBand="0"/>
      </w:tblPr>
      <w:tblGrid>
        <w:gridCol w:w="9350"/>
      </w:tblGrid>
      <w:tr w:rsidR="007F64A0" w:rsidRPr="007F64A0" w14:paraId="1FD0074E" w14:textId="77777777" w:rsidTr="00A52EA5">
        <w:tc>
          <w:tcPr>
            <w:tcW w:w="9576" w:type="dxa"/>
            <w:shd w:val="clear" w:color="auto" w:fill="FFC000"/>
          </w:tcPr>
          <w:p w14:paraId="011F10B1" w14:textId="77777777" w:rsidR="00C84B14" w:rsidRPr="007F64A0" w:rsidRDefault="00A52EA5" w:rsidP="00BF06BD">
            <w:pPr>
              <w:pStyle w:val="Heading"/>
              <w:rPr>
                <w:rFonts w:ascii="Times New Roman" w:hAnsi="Times New Roman" w:cs="Times New Roman"/>
                <w:color w:val="000000" w:themeColor="text1"/>
                <w:sz w:val="24"/>
                <w:szCs w:val="24"/>
              </w:rPr>
            </w:pPr>
            <w:r w:rsidRPr="007F64A0">
              <w:rPr>
                <w:rFonts w:ascii="Times New Roman" w:hAnsi="Times New Roman" w:cs="Times New Roman"/>
                <w:color w:val="000000" w:themeColor="text1"/>
                <w:sz w:val="24"/>
                <w:szCs w:val="24"/>
              </w:rPr>
              <w:t xml:space="preserve">Šajā nodaļā aprakstītas sistēmas </w:t>
            </w:r>
            <w:r w:rsidR="001E7377" w:rsidRPr="007F64A0">
              <w:rPr>
                <w:rFonts w:ascii="Times New Roman" w:hAnsi="Times New Roman" w:cs="Times New Roman"/>
                <w:color w:val="000000" w:themeColor="text1"/>
                <w:sz w:val="24"/>
                <w:szCs w:val="24"/>
              </w:rPr>
              <w:t xml:space="preserve">drošības politikas  </w:t>
            </w:r>
            <w:r w:rsidRPr="007F64A0">
              <w:rPr>
                <w:rFonts w:ascii="Times New Roman" w:hAnsi="Times New Roman" w:cs="Times New Roman"/>
                <w:color w:val="000000" w:themeColor="text1"/>
                <w:sz w:val="24"/>
                <w:szCs w:val="24"/>
              </w:rPr>
              <w:t>pārskatīšanas regularitāte</w:t>
            </w:r>
            <w:r w:rsidR="006C0EEC" w:rsidRPr="007F64A0">
              <w:rPr>
                <w:rFonts w:ascii="Times New Roman" w:hAnsi="Times New Roman" w:cs="Times New Roman"/>
                <w:color w:val="000000" w:themeColor="text1"/>
                <w:sz w:val="24"/>
                <w:szCs w:val="24"/>
              </w:rPr>
              <w:t>, ja nepieciešams šeit arī norādīt pārejas periodu, kādā sistēmas politika stājas spēkā.</w:t>
            </w:r>
          </w:p>
        </w:tc>
      </w:tr>
    </w:tbl>
    <w:p w14:paraId="0AB50D3D" w14:textId="77777777" w:rsidR="00C84B14" w:rsidRPr="007F64A0" w:rsidRDefault="00C84B14" w:rsidP="00C84B14">
      <w:pPr>
        <w:pStyle w:val="Heading"/>
        <w:ind w:left="360"/>
        <w:rPr>
          <w:rFonts w:ascii="Times New Roman" w:hAnsi="Times New Roman" w:cs="Times New Roman"/>
          <w:b/>
          <w:color w:val="000000" w:themeColor="text1"/>
          <w:sz w:val="24"/>
          <w:szCs w:val="24"/>
        </w:rPr>
      </w:pPr>
    </w:p>
    <w:p w14:paraId="5EC98A3A" w14:textId="77777777" w:rsidR="00435892" w:rsidRPr="007F64A0" w:rsidRDefault="00435892" w:rsidP="00435892">
      <w:pPr>
        <w:pStyle w:val="ListParagraph"/>
        <w:spacing w:after="0" w:line="240" w:lineRule="auto"/>
        <w:ind w:left="360"/>
        <w:rPr>
          <w:rFonts w:ascii="Times New Roman" w:hAnsi="Times New Roman"/>
          <w:b/>
          <w:color w:val="000000" w:themeColor="text1"/>
          <w:sz w:val="24"/>
          <w:szCs w:val="24"/>
          <w:lang w:val="lv-LV"/>
        </w:rPr>
      </w:pPr>
    </w:p>
    <w:p w14:paraId="74C8C9F1" w14:textId="77777777" w:rsidR="001A4FCD" w:rsidRPr="007F64A0" w:rsidRDefault="001A4FCD" w:rsidP="00435892">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politiku pārskata vismaz reizi gada, ka ar</w:t>
      </w:r>
      <w:r w:rsidR="00BB4E97" w:rsidRPr="007F64A0">
        <w:rPr>
          <w:rFonts w:ascii="Times New Roman" w:hAnsi="Times New Roman"/>
          <w:color w:val="000000" w:themeColor="text1"/>
          <w:sz w:val="24"/>
          <w:szCs w:val="24"/>
          <w:lang w:val="lv-LV"/>
        </w:rPr>
        <w:t>ī</w:t>
      </w:r>
      <w:r w:rsidRPr="007F64A0">
        <w:rPr>
          <w:rFonts w:ascii="Times New Roman" w:hAnsi="Times New Roman"/>
          <w:color w:val="000000" w:themeColor="text1"/>
          <w:sz w:val="24"/>
          <w:szCs w:val="24"/>
          <w:lang w:val="lv-LV"/>
        </w:rPr>
        <w:t xml:space="preserve"> šādos gadījumos:</w:t>
      </w:r>
    </w:p>
    <w:p w14:paraId="55F8163D" w14:textId="77777777" w:rsidR="001A4FCD" w:rsidRPr="007F64A0" w:rsidRDefault="001A4FCD" w:rsidP="00435892">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ja izmaiņas sistēmā var ietekmēt sistēmas drošību;</w:t>
      </w:r>
    </w:p>
    <w:p w14:paraId="297A0D62" w14:textId="77777777" w:rsidR="001A4FCD" w:rsidRPr="007F64A0" w:rsidRDefault="001A4FCD" w:rsidP="00435892">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ja mainījušies vai ir atklāti jauni sistēmas drošības apdraudējumi;</w:t>
      </w:r>
    </w:p>
    <w:p w14:paraId="4A603FAB" w14:textId="77777777" w:rsidR="001A4FCD" w:rsidRPr="007F64A0" w:rsidRDefault="001A4FCD" w:rsidP="00435892">
      <w:pPr>
        <w:pStyle w:val="ListParagraph"/>
        <w:numPr>
          <w:ilvl w:val="2"/>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ja pieaug sistēmas drošības incidentu skaits vai noticis nozīmīgs sistēmas drošības incidents.</w:t>
      </w:r>
    </w:p>
    <w:p w14:paraId="69775F81" w14:textId="77777777" w:rsidR="001A4FCD" w:rsidRPr="007F64A0" w:rsidRDefault="001A4FCD" w:rsidP="00435892">
      <w:pPr>
        <w:pStyle w:val="ListParagraph"/>
        <w:numPr>
          <w:ilvl w:val="1"/>
          <w:numId w:val="4"/>
        </w:numPr>
        <w:spacing w:after="0" w:line="240" w:lineRule="auto"/>
        <w:rPr>
          <w:rFonts w:ascii="Times New Roman" w:hAnsi="Times New Roman"/>
          <w:color w:val="000000" w:themeColor="text1"/>
          <w:sz w:val="24"/>
          <w:szCs w:val="24"/>
          <w:lang w:val="lv-LV"/>
        </w:rPr>
      </w:pPr>
      <w:r w:rsidRPr="007F64A0">
        <w:rPr>
          <w:rFonts w:ascii="Times New Roman" w:hAnsi="Times New Roman"/>
          <w:color w:val="000000" w:themeColor="text1"/>
          <w:sz w:val="24"/>
          <w:szCs w:val="24"/>
          <w:lang w:val="lv-LV"/>
        </w:rPr>
        <w:t>Ja, pārskatot politiku, konstatēta atbilstoša nepieciešamība, to aktualizē.</w:t>
      </w:r>
    </w:p>
    <w:p w14:paraId="2397D6A5" w14:textId="77777777" w:rsidR="00595E9F" w:rsidRPr="00746E3F" w:rsidRDefault="00595E9F" w:rsidP="004A20AE">
      <w:pPr>
        <w:spacing w:after="0" w:line="240" w:lineRule="auto"/>
        <w:rPr>
          <w:rFonts w:ascii="Times New Roman" w:hAnsi="Times New Roman"/>
          <w:sz w:val="24"/>
          <w:szCs w:val="24"/>
          <w:lang w:val="lv-LV"/>
        </w:rPr>
      </w:pPr>
      <w:bookmarkStart w:id="0" w:name="_GoBack"/>
      <w:bookmarkEnd w:id="0"/>
    </w:p>
    <w:sectPr w:rsidR="00595E9F" w:rsidRPr="00746E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0DA5D" w14:textId="77777777" w:rsidR="00ED7F4F" w:rsidRDefault="00ED7F4F" w:rsidP="00BF06BD">
      <w:pPr>
        <w:spacing w:after="0" w:line="240" w:lineRule="auto"/>
      </w:pPr>
      <w:r>
        <w:separator/>
      </w:r>
    </w:p>
  </w:endnote>
  <w:endnote w:type="continuationSeparator" w:id="0">
    <w:p w14:paraId="027D15B3" w14:textId="77777777" w:rsidR="00ED7F4F" w:rsidRDefault="00ED7F4F" w:rsidP="00BF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8DC13" w14:textId="77777777" w:rsidR="00ED7F4F" w:rsidRDefault="00ED7F4F" w:rsidP="00BF06BD">
      <w:pPr>
        <w:spacing w:after="0" w:line="240" w:lineRule="auto"/>
      </w:pPr>
      <w:r>
        <w:separator/>
      </w:r>
    </w:p>
  </w:footnote>
  <w:footnote w:type="continuationSeparator" w:id="0">
    <w:p w14:paraId="4A2E77AE" w14:textId="77777777" w:rsidR="00ED7F4F" w:rsidRDefault="00ED7F4F" w:rsidP="00BF06BD">
      <w:pPr>
        <w:spacing w:after="0" w:line="240" w:lineRule="auto"/>
      </w:pPr>
      <w:r>
        <w:continuationSeparator/>
      </w:r>
    </w:p>
  </w:footnote>
  <w:footnote w:id="1">
    <w:p w14:paraId="26EC4910" w14:textId="77777777" w:rsidR="00BF06BD" w:rsidRDefault="00BF06BD">
      <w:pPr>
        <w:pStyle w:val="FootnoteText"/>
      </w:pPr>
      <w:r>
        <w:rPr>
          <w:rStyle w:val="FootnoteReference"/>
        </w:rPr>
        <w:footnoteRef/>
      </w:r>
      <w:r>
        <w:t xml:space="preserve"> </w:t>
      </w:r>
      <w:hyperlink r:id="rId1" w:history="1">
        <w:r w:rsidRPr="00970838">
          <w:rPr>
            <w:rStyle w:val="Hyperlink"/>
          </w:rPr>
          <w:t>http://likumi.lv/doc.php?id=220962</w:t>
        </w:r>
      </w:hyperlink>
    </w:p>
    <w:p w14:paraId="51BBBAAF" w14:textId="77777777" w:rsidR="00BF06BD" w:rsidRPr="00BF06BD" w:rsidRDefault="00BF06BD">
      <w:pPr>
        <w:pStyle w:val="FootnoteText"/>
        <w:rPr>
          <w:lang w:val="lv-LV"/>
        </w:rPr>
      </w:pPr>
    </w:p>
  </w:footnote>
  <w:footnote w:id="2">
    <w:p w14:paraId="29F5BD8B" w14:textId="77777777" w:rsidR="00BF06BD" w:rsidRPr="00BF06BD" w:rsidRDefault="00BF06BD">
      <w:pPr>
        <w:pStyle w:val="FootnoteText"/>
        <w:rPr>
          <w:lang w:val="lv-LV"/>
        </w:rPr>
      </w:pPr>
      <w:r>
        <w:rPr>
          <w:rStyle w:val="FootnoteReference"/>
        </w:rPr>
        <w:footnoteRef/>
      </w:r>
      <w:r>
        <w:t xml:space="preserve"> </w:t>
      </w:r>
      <w:r w:rsidRPr="00BF06BD">
        <w:t>http://likumi.lv/ta/id/275671-kartiba-kada-tiek-nodrosinata-informacijas-un-komunikacijas-tehnologiju-sistemu-atbilstiba-minimalajam-drosibas-prasibam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33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4300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7EC18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AC74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FCD"/>
    <w:rsid w:val="000300E5"/>
    <w:rsid w:val="00053ADB"/>
    <w:rsid w:val="00127C92"/>
    <w:rsid w:val="00130143"/>
    <w:rsid w:val="001469B5"/>
    <w:rsid w:val="00153D5B"/>
    <w:rsid w:val="00157E6D"/>
    <w:rsid w:val="001A4FCD"/>
    <w:rsid w:val="001A50F2"/>
    <w:rsid w:val="001C6589"/>
    <w:rsid w:val="001E7377"/>
    <w:rsid w:val="002241E0"/>
    <w:rsid w:val="00225360"/>
    <w:rsid w:val="00377CC2"/>
    <w:rsid w:val="00435892"/>
    <w:rsid w:val="004A20AE"/>
    <w:rsid w:val="004F3FBC"/>
    <w:rsid w:val="004F5041"/>
    <w:rsid w:val="00557C29"/>
    <w:rsid w:val="00557EEB"/>
    <w:rsid w:val="00562DBD"/>
    <w:rsid w:val="00591DCF"/>
    <w:rsid w:val="00593944"/>
    <w:rsid w:val="00595E9F"/>
    <w:rsid w:val="005971F5"/>
    <w:rsid w:val="005B77E3"/>
    <w:rsid w:val="005D690A"/>
    <w:rsid w:val="0065126C"/>
    <w:rsid w:val="006917AA"/>
    <w:rsid w:val="00692DA1"/>
    <w:rsid w:val="00695DCE"/>
    <w:rsid w:val="006C0863"/>
    <w:rsid w:val="006C0EEC"/>
    <w:rsid w:val="006E25EA"/>
    <w:rsid w:val="00746E3F"/>
    <w:rsid w:val="007E5024"/>
    <w:rsid w:val="007F64A0"/>
    <w:rsid w:val="008221B5"/>
    <w:rsid w:val="00911AAB"/>
    <w:rsid w:val="00926414"/>
    <w:rsid w:val="009A619D"/>
    <w:rsid w:val="00A43C78"/>
    <w:rsid w:val="00A52EA5"/>
    <w:rsid w:val="00A765C4"/>
    <w:rsid w:val="00AC2CAD"/>
    <w:rsid w:val="00AD5084"/>
    <w:rsid w:val="00B03BA5"/>
    <w:rsid w:val="00B04541"/>
    <w:rsid w:val="00B1060F"/>
    <w:rsid w:val="00B35A4D"/>
    <w:rsid w:val="00B617C4"/>
    <w:rsid w:val="00BB4E97"/>
    <w:rsid w:val="00BC6F88"/>
    <w:rsid w:val="00BF06BD"/>
    <w:rsid w:val="00BF1B9F"/>
    <w:rsid w:val="00C33F1B"/>
    <w:rsid w:val="00C5285E"/>
    <w:rsid w:val="00C542D0"/>
    <w:rsid w:val="00C84B14"/>
    <w:rsid w:val="00CC5EA8"/>
    <w:rsid w:val="00D1734D"/>
    <w:rsid w:val="00DB394B"/>
    <w:rsid w:val="00DE08AB"/>
    <w:rsid w:val="00E26A4F"/>
    <w:rsid w:val="00E31F11"/>
    <w:rsid w:val="00E869C5"/>
    <w:rsid w:val="00ED7F4F"/>
    <w:rsid w:val="00EF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27F7"/>
  <w15:docId w15:val="{19F1FC73-C547-449F-AC02-C9D40A61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2D0"/>
    <w:pPr>
      <w:spacing w:after="200" w:line="276" w:lineRule="auto"/>
    </w:pPr>
    <w:rPr>
      <w:sz w:val="22"/>
      <w:szCs w:val="22"/>
    </w:rPr>
  </w:style>
  <w:style w:type="paragraph" w:styleId="Heading1">
    <w:name w:val="heading 1"/>
    <w:basedOn w:val="Heading"/>
    <w:next w:val="Normal"/>
    <w:link w:val="Heading1Char"/>
    <w:uiPriority w:val="9"/>
    <w:qFormat/>
    <w:rsid w:val="004A20AE"/>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character" w:styleId="CommentReference">
    <w:name w:val="annotation reference"/>
    <w:uiPriority w:val="99"/>
    <w:semiHidden/>
    <w:unhideWhenUsed/>
    <w:rsid w:val="001A4FCD"/>
    <w:rPr>
      <w:sz w:val="16"/>
      <w:szCs w:val="16"/>
    </w:rPr>
  </w:style>
  <w:style w:type="paragraph" w:styleId="CommentText">
    <w:name w:val="annotation text"/>
    <w:basedOn w:val="Normal"/>
    <w:link w:val="CommentTextChar"/>
    <w:uiPriority w:val="99"/>
    <w:semiHidden/>
    <w:unhideWhenUsed/>
    <w:rsid w:val="001A4FCD"/>
    <w:pPr>
      <w:spacing w:line="240" w:lineRule="auto"/>
    </w:pPr>
    <w:rPr>
      <w:sz w:val="20"/>
      <w:szCs w:val="20"/>
    </w:rPr>
  </w:style>
  <w:style w:type="character" w:customStyle="1" w:styleId="CommentTextChar">
    <w:name w:val="Comment Text Char"/>
    <w:link w:val="CommentText"/>
    <w:uiPriority w:val="99"/>
    <w:semiHidden/>
    <w:rsid w:val="001A4FCD"/>
    <w:rPr>
      <w:sz w:val="20"/>
      <w:szCs w:val="20"/>
    </w:rPr>
  </w:style>
  <w:style w:type="paragraph" w:styleId="BalloonText">
    <w:name w:val="Balloon Text"/>
    <w:basedOn w:val="Normal"/>
    <w:link w:val="BalloonTextChar"/>
    <w:uiPriority w:val="99"/>
    <w:semiHidden/>
    <w:unhideWhenUsed/>
    <w:rsid w:val="001A4F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4FC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95DCE"/>
    <w:rPr>
      <w:b/>
      <w:bCs/>
    </w:rPr>
  </w:style>
  <w:style w:type="character" w:customStyle="1" w:styleId="CommentSubjectChar">
    <w:name w:val="Comment Subject Char"/>
    <w:link w:val="CommentSubject"/>
    <w:uiPriority w:val="99"/>
    <w:semiHidden/>
    <w:rsid w:val="00695DCE"/>
    <w:rPr>
      <w:b/>
      <w:bCs/>
      <w:sz w:val="20"/>
      <w:szCs w:val="20"/>
    </w:rPr>
  </w:style>
  <w:style w:type="paragraph" w:styleId="ListParagraph">
    <w:name w:val="List Paragraph"/>
    <w:basedOn w:val="Normal"/>
    <w:uiPriority w:val="34"/>
    <w:qFormat/>
    <w:rsid w:val="00C542D0"/>
    <w:pPr>
      <w:ind w:left="720"/>
      <w:contextualSpacing/>
    </w:pPr>
  </w:style>
  <w:style w:type="paragraph" w:customStyle="1" w:styleId="Heading">
    <w:name w:val="Heading"/>
    <w:aliases w:val="2,1"/>
    <w:basedOn w:val="Normal"/>
    <w:rsid w:val="00DE0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rPr>
  </w:style>
  <w:style w:type="paragraph" w:styleId="Title">
    <w:name w:val="Title"/>
    <w:basedOn w:val="Normal"/>
    <w:next w:val="Normal"/>
    <w:link w:val="TitleChar"/>
    <w:uiPriority w:val="10"/>
    <w:qFormat/>
    <w:rsid w:val="00C542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C542D0"/>
    <w:rPr>
      <w:rFonts w:ascii="Cambria" w:eastAsia="Times New Roman" w:hAnsi="Cambria"/>
      <w:color w:val="17365D"/>
      <w:spacing w:val="5"/>
      <w:kern w:val="28"/>
      <w:sz w:val="52"/>
      <w:szCs w:val="52"/>
    </w:rPr>
  </w:style>
  <w:style w:type="character" w:customStyle="1" w:styleId="Heading1Char">
    <w:name w:val="Heading 1 Char"/>
    <w:basedOn w:val="DefaultParagraphFont"/>
    <w:link w:val="Heading1"/>
    <w:uiPriority w:val="9"/>
    <w:rsid w:val="004A20AE"/>
    <w:rPr>
      <w:rFonts w:ascii="Courier New" w:eastAsia="Times New Roman" w:hAnsi="Courier New" w:cs="Courier New"/>
      <w:b/>
      <w:sz w:val="28"/>
      <w:szCs w:val="28"/>
      <w:lang w:val="lv-LV"/>
    </w:rPr>
  </w:style>
  <w:style w:type="paragraph" w:styleId="FootnoteText">
    <w:name w:val="footnote text"/>
    <w:basedOn w:val="Normal"/>
    <w:link w:val="FootnoteTextChar"/>
    <w:uiPriority w:val="99"/>
    <w:semiHidden/>
    <w:unhideWhenUsed/>
    <w:rsid w:val="00BF06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6BD"/>
  </w:style>
  <w:style w:type="character" w:styleId="FootnoteReference">
    <w:name w:val="footnote reference"/>
    <w:basedOn w:val="DefaultParagraphFont"/>
    <w:uiPriority w:val="99"/>
    <w:semiHidden/>
    <w:unhideWhenUsed/>
    <w:rsid w:val="00BF06BD"/>
    <w:rPr>
      <w:vertAlign w:val="superscript"/>
    </w:rPr>
  </w:style>
  <w:style w:type="character" w:styleId="Hyperlink">
    <w:name w:val="Hyperlink"/>
    <w:basedOn w:val="DefaultParagraphFont"/>
    <w:uiPriority w:val="99"/>
    <w:unhideWhenUsed/>
    <w:rsid w:val="00BF0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ikumi.lv/doc.php?id=220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594C-724A-B040-BD11-9E293006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Taurins</dc:creator>
  <cp:lastModifiedBy>Liga Besere</cp:lastModifiedBy>
  <cp:revision>3</cp:revision>
  <cp:lastPrinted>2016-01-21T10:25:00Z</cp:lastPrinted>
  <dcterms:created xsi:type="dcterms:W3CDTF">2020-04-01T09:55:00Z</dcterms:created>
  <dcterms:modified xsi:type="dcterms:W3CDTF">2020-04-29T05:29:00Z</dcterms:modified>
</cp:coreProperties>
</file>